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B0655" w14:textId="2A44F1AF" w:rsidR="00623C6E" w:rsidRPr="0038273B" w:rsidRDefault="009C3077" w:rsidP="00623C6E">
      <w:pPr>
        <w:jc w:val="right"/>
        <w:rPr>
          <w:b/>
        </w:rPr>
      </w:pPr>
      <w:bookmarkStart w:id="0" w:name="_GoBack"/>
      <w:r w:rsidRPr="0038273B">
        <w:rPr>
          <w:b/>
        </w:rPr>
        <w:t>УТВЕРЖДЕН</w:t>
      </w:r>
      <w:r w:rsidRPr="0038273B">
        <w:rPr>
          <w:b/>
          <w:lang w:val="ru-RU"/>
        </w:rPr>
        <w:t>О</w:t>
      </w:r>
      <w:r w:rsidR="0001552F" w:rsidRPr="0038273B">
        <w:rPr>
          <w:b/>
        </w:rPr>
        <w:t xml:space="preserve"> </w:t>
      </w:r>
    </w:p>
    <w:p w14:paraId="188B7599" w14:textId="701EB56E" w:rsidR="00623C6E" w:rsidRPr="0038273B" w:rsidRDefault="0001552F" w:rsidP="00623C6E">
      <w:pPr>
        <w:jc w:val="right"/>
        <w:rPr>
          <w:b/>
        </w:rPr>
      </w:pPr>
      <w:r w:rsidRPr="0038273B">
        <w:rPr>
          <w:b/>
        </w:rPr>
        <w:t xml:space="preserve">Решением </w:t>
      </w:r>
      <w:r w:rsidR="00623C6E" w:rsidRPr="0038273B">
        <w:rPr>
          <w:b/>
        </w:rPr>
        <w:t>СПК НСБ</w:t>
      </w:r>
    </w:p>
    <w:p w14:paraId="0519598B" w14:textId="3C18E4C9" w:rsidR="009C3077" w:rsidRPr="0038273B" w:rsidRDefault="00BC45B7" w:rsidP="00623C6E">
      <w:pPr>
        <w:jc w:val="right"/>
        <w:rPr>
          <w:b/>
        </w:rPr>
      </w:pPr>
      <w:r w:rsidRPr="0038273B">
        <w:rPr>
          <w:b/>
        </w:rPr>
        <w:t>22 июня</w:t>
      </w:r>
      <w:r w:rsidR="0001552F" w:rsidRPr="0038273B">
        <w:rPr>
          <w:b/>
        </w:rPr>
        <w:t xml:space="preserve"> 20</w:t>
      </w:r>
      <w:r w:rsidR="00623C6E" w:rsidRPr="0038273B">
        <w:rPr>
          <w:b/>
        </w:rPr>
        <w:t>21</w:t>
      </w:r>
      <w:r w:rsidR="0001552F" w:rsidRPr="0038273B">
        <w:rPr>
          <w:b/>
        </w:rPr>
        <w:t xml:space="preserve"> г.</w:t>
      </w:r>
      <w:r w:rsidRPr="0038273B">
        <w:rPr>
          <w:b/>
        </w:rPr>
        <w:t xml:space="preserve"> </w:t>
      </w:r>
      <w:r w:rsidRPr="0038273B">
        <w:rPr>
          <w:b/>
        </w:rPr>
        <w:t>протокол № 12</w:t>
      </w:r>
    </w:p>
    <w:bookmarkEnd w:id="0"/>
    <w:p w14:paraId="25C86611" w14:textId="388CEDAE" w:rsidR="0001552F" w:rsidRPr="0001552F" w:rsidRDefault="0001552F" w:rsidP="00623C6E">
      <w:pPr>
        <w:jc w:val="right"/>
      </w:pPr>
      <w:r w:rsidRPr="0001552F">
        <w:t xml:space="preserve"> </w:t>
      </w:r>
    </w:p>
    <w:p w14:paraId="14005C0A" w14:textId="77777777" w:rsidR="0001552F" w:rsidRDefault="0001552F" w:rsidP="0001552F"/>
    <w:p w14:paraId="6CD7B882" w14:textId="29C9069F" w:rsidR="0001552F" w:rsidRPr="00623C6E" w:rsidRDefault="0001552F" w:rsidP="00623C6E">
      <w:pPr>
        <w:jc w:val="center"/>
        <w:rPr>
          <w:lang w:val="ru-RU"/>
        </w:rPr>
      </w:pPr>
      <w:r w:rsidRPr="0001552F">
        <w:t>МЕТОДИКА ОПРЕДЕЛЕНИЯ СТОИМОСТИ РАБОТ ПО НЕ</w:t>
      </w:r>
      <w:r w:rsidR="00623C6E">
        <w:t xml:space="preserve">ЗАВИСИМОЙ ОЦЕНКЕ КВАЛИФИКАЦИЙ </w:t>
      </w:r>
      <w:r w:rsidRPr="0001552F">
        <w:t xml:space="preserve">В ЦЕНТРАХ ОЦЕНКИ КВАЛИФИКАЦИЙ </w:t>
      </w:r>
      <w:r w:rsidR="00623C6E">
        <w:rPr>
          <w:lang w:val="ru-RU"/>
        </w:rPr>
        <w:t>СПК НСБ</w:t>
      </w:r>
    </w:p>
    <w:p w14:paraId="2ACE3B01" w14:textId="77777777" w:rsidR="0001552F" w:rsidRPr="0001552F" w:rsidRDefault="0001552F" w:rsidP="0001552F"/>
    <w:p w14:paraId="44BA5EDE" w14:textId="77777777" w:rsidR="0001552F" w:rsidRPr="003A0F45" w:rsidRDefault="0001552F" w:rsidP="0001552F">
      <w:pPr>
        <w:pStyle w:val="ListParagraph"/>
        <w:numPr>
          <w:ilvl w:val="0"/>
          <w:numId w:val="3"/>
        </w:numPr>
        <w:rPr>
          <w:b/>
        </w:rPr>
      </w:pPr>
      <w:r w:rsidRPr="003A0F45">
        <w:rPr>
          <w:b/>
        </w:rPr>
        <w:t xml:space="preserve">Общие положения. </w:t>
      </w:r>
    </w:p>
    <w:p w14:paraId="3CD64BC2" w14:textId="77777777" w:rsidR="0001552F" w:rsidRPr="0001552F" w:rsidRDefault="0001552F" w:rsidP="0001552F">
      <w:pPr>
        <w:pStyle w:val="ListParagraph"/>
      </w:pPr>
    </w:p>
    <w:p w14:paraId="0425148B" w14:textId="092AC24A" w:rsidR="0001552F" w:rsidRDefault="009C3077" w:rsidP="003A0F45">
      <w:pPr>
        <w:jc w:val="both"/>
      </w:pPr>
      <w:r>
        <w:t>1.1. Настоящая М</w:t>
      </w:r>
      <w:r w:rsidR="0001552F" w:rsidRPr="0001552F">
        <w:t xml:space="preserve">етодика устанавливает порядок определения стоимости работ по проведению независимой оценки квалификации соискателя на соответствие </w:t>
      </w:r>
      <w:r>
        <w:t xml:space="preserve">охранным </w:t>
      </w:r>
      <w:r w:rsidR="0001552F" w:rsidRPr="0001552F">
        <w:t xml:space="preserve">профессиональным стандартам (далее – услуга </w:t>
      </w:r>
      <w:r w:rsidR="003A0F45">
        <w:rPr>
          <w:lang w:val="ru-RU"/>
        </w:rPr>
        <w:t>НОК</w:t>
      </w:r>
      <w:r>
        <w:t>) и является обязательной для ЦОК</w:t>
      </w:r>
      <w:r w:rsidR="0001552F" w:rsidRPr="0001552F">
        <w:t xml:space="preserve"> </w:t>
      </w:r>
      <w:r>
        <w:t>при установлении цен на оказание данной услуги.</w:t>
      </w:r>
    </w:p>
    <w:p w14:paraId="1D91BB6A" w14:textId="77777777" w:rsidR="0001552F" w:rsidRPr="0001552F" w:rsidRDefault="0001552F" w:rsidP="0001552F"/>
    <w:p w14:paraId="7ACF9DB5" w14:textId="39CE6833" w:rsidR="0001552F" w:rsidRDefault="0001552F" w:rsidP="00CF428A">
      <w:pPr>
        <w:jc w:val="both"/>
      </w:pPr>
      <w:r>
        <w:t>1</w:t>
      </w:r>
      <w:r>
        <w:rPr>
          <w:lang w:val="ru-RU"/>
        </w:rPr>
        <w:t>.</w:t>
      </w:r>
      <w:r>
        <w:t xml:space="preserve">2 </w:t>
      </w:r>
      <w:r w:rsidRPr="0001552F">
        <w:t xml:space="preserve">Настоящая Методика </w:t>
      </w:r>
      <w:r w:rsidR="003A0F45" w:rsidRPr="00CF428A">
        <w:rPr>
          <w:highlight w:val="green"/>
        </w:rPr>
        <w:t>должна применя</w:t>
      </w:r>
      <w:r w:rsidRPr="00CF428A">
        <w:rPr>
          <w:highlight w:val="green"/>
        </w:rPr>
        <w:t>т</w:t>
      </w:r>
      <w:r w:rsidR="003A0F45" w:rsidRPr="00CF428A">
        <w:rPr>
          <w:highlight w:val="green"/>
        </w:rPr>
        <w:t>ь</w:t>
      </w:r>
      <w:r w:rsidRPr="00CF428A">
        <w:rPr>
          <w:highlight w:val="green"/>
        </w:rPr>
        <w:t xml:space="preserve">ся </w:t>
      </w:r>
      <w:r w:rsidR="009C3077" w:rsidRPr="00CF428A">
        <w:rPr>
          <w:highlight w:val="green"/>
        </w:rPr>
        <w:t xml:space="preserve">уполномоченными </w:t>
      </w:r>
      <w:r w:rsidR="00CF428A" w:rsidRPr="00CF428A">
        <w:rPr>
          <w:highlight w:val="green"/>
        </w:rPr>
        <w:t xml:space="preserve">по организации и проведению профессиональных экзаменов </w:t>
      </w:r>
      <w:r w:rsidR="009C3077" w:rsidRPr="00CF428A">
        <w:rPr>
          <w:highlight w:val="green"/>
        </w:rPr>
        <w:t>ЦОК</w:t>
      </w:r>
      <w:r w:rsidR="00CF428A" w:rsidRPr="00CF428A">
        <w:rPr>
          <w:highlight w:val="green"/>
        </w:rPr>
        <w:t xml:space="preserve"> СПК НСБ</w:t>
      </w:r>
      <w:r w:rsidRPr="0001552F">
        <w:t xml:space="preserve"> </w:t>
      </w:r>
      <w:r w:rsidR="009C3077">
        <w:t xml:space="preserve">при расчете стоимости НОК по </w:t>
      </w:r>
      <w:r w:rsidRPr="0001552F">
        <w:t xml:space="preserve">профессиональным </w:t>
      </w:r>
      <w:r w:rsidR="009C3077">
        <w:t xml:space="preserve">охранным </w:t>
      </w:r>
      <w:r w:rsidRPr="0001552F">
        <w:t>квал</w:t>
      </w:r>
      <w:r w:rsidR="009C3077">
        <w:t xml:space="preserve">ификациям </w:t>
      </w:r>
      <w:r w:rsidRPr="0001552F">
        <w:t>(ЦОК СПК</w:t>
      </w:r>
      <w:r w:rsidR="003A0F45">
        <w:t xml:space="preserve"> НСБ</w:t>
      </w:r>
      <w:r w:rsidRPr="0001552F">
        <w:t>)</w:t>
      </w:r>
      <w:r w:rsidR="00CF428A">
        <w:t xml:space="preserve"> на территории РФ</w:t>
      </w:r>
      <w:r w:rsidRPr="0001552F">
        <w:t xml:space="preserve">. </w:t>
      </w:r>
    </w:p>
    <w:p w14:paraId="42BA82A7" w14:textId="77777777" w:rsidR="0001552F" w:rsidRPr="0001552F" w:rsidRDefault="0001552F" w:rsidP="0003128E"/>
    <w:p w14:paraId="08331770" w14:textId="2E739A1F" w:rsidR="0001552F" w:rsidRPr="003A0F45" w:rsidRDefault="00CC1A90" w:rsidP="0001552F">
      <w:pPr>
        <w:ind w:left="360"/>
        <w:rPr>
          <w:b/>
        </w:rPr>
      </w:pPr>
      <w:r>
        <w:rPr>
          <w:b/>
        </w:rPr>
        <w:t xml:space="preserve">2. </w:t>
      </w:r>
      <w:r w:rsidR="0001552F" w:rsidRPr="003A0F45">
        <w:rPr>
          <w:b/>
        </w:rPr>
        <w:t xml:space="preserve">Термины и определения. </w:t>
      </w:r>
    </w:p>
    <w:p w14:paraId="2B16E434" w14:textId="77777777" w:rsidR="0001552F" w:rsidRPr="0001552F" w:rsidRDefault="0001552F" w:rsidP="0001552F">
      <w:pPr>
        <w:pStyle w:val="ListParagraph"/>
      </w:pPr>
    </w:p>
    <w:p w14:paraId="283D616E" w14:textId="257902F8" w:rsidR="0001552F" w:rsidRDefault="0001552F" w:rsidP="003A0F45">
      <w:pPr>
        <w:jc w:val="both"/>
      </w:pPr>
      <w:r w:rsidRPr="0001552F">
        <w:t xml:space="preserve">2.1. </w:t>
      </w:r>
      <w:r w:rsidR="00CC1A90">
        <w:t>Для работы с данной Методикой необходимо использовать</w:t>
      </w:r>
      <w:r w:rsidRPr="0001552F">
        <w:t xml:space="preserve"> следующие термины с соответствующими определениями: </w:t>
      </w:r>
    </w:p>
    <w:p w14:paraId="0174A550" w14:textId="77777777" w:rsidR="003A0F45" w:rsidRPr="0001552F" w:rsidRDefault="003A0F45" w:rsidP="003A0F45">
      <w:pPr>
        <w:jc w:val="both"/>
      </w:pPr>
    </w:p>
    <w:p w14:paraId="55CF77D3" w14:textId="41E9F257" w:rsidR="0001552F" w:rsidRDefault="0001552F" w:rsidP="00CF428A">
      <w:pPr>
        <w:pStyle w:val="ListParagraph"/>
        <w:numPr>
          <w:ilvl w:val="0"/>
          <w:numId w:val="7"/>
        </w:numPr>
        <w:jc w:val="both"/>
      </w:pPr>
      <w:r w:rsidRPr="00CF428A">
        <w:rPr>
          <w:b/>
          <w:highlight w:val="yellow"/>
        </w:rPr>
        <w:t>Независимая оценка квалификации</w:t>
      </w:r>
      <w:r w:rsidR="003A0F45" w:rsidRPr="00CF428A">
        <w:rPr>
          <w:b/>
          <w:highlight w:val="yellow"/>
        </w:rPr>
        <w:t xml:space="preserve"> (НОК)</w:t>
      </w:r>
      <w:r w:rsidRPr="0001552F">
        <w:t xml:space="preserve"> – независимая оценка квалификации работников или лиц, претендующих на осуществление определенного вида трудовой деятельности, процедура подтверждения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Российской Федерации (далее - требования к квалификации), проведенная центром оценки квалификаций в соответствии с Федеральным законом от 3 июля 2016 года No238-ФЗ «О независимой оценке квалификаций»; </w:t>
      </w:r>
    </w:p>
    <w:p w14:paraId="4702BA90" w14:textId="77777777" w:rsidR="003A0F45" w:rsidRPr="0001552F" w:rsidRDefault="003A0F45" w:rsidP="003A0F45">
      <w:pPr>
        <w:jc w:val="both"/>
      </w:pPr>
    </w:p>
    <w:p w14:paraId="1334C2B4" w14:textId="77777777" w:rsidR="0001552F" w:rsidRDefault="0001552F" w:rsidP="00CF428A">
      <w:pPr>
        <w:pStyle w:val="ListParagraph"/>
        <w:numPr>
          <w:ilvl w:val="0"/>
          <w:numId w:val="7"/>
        </w:numPr>
        <w:jc w:val="both"/>
      </w:pPr>
      <w:r w:rsidRPr="00CF428A">
        <w:rPr>
          <w:b/>
          <w:highlight w:val="yellow"/>
        </w:rPr>
        <w:t>Центр оценки квалификаций (ЦОК)</w:t>
      </w:r>
      <w:r w:rsidRPr="0001552F">
        <w:t xml:space="preserve"> – юридическое лицо, осуществляющее в соответствии с Федеральным законом от 3 июля 2016 года No238-ФЗ «О независимой оценке квалификаций» деятельность по проведению независимой оценки квалификации, прошедшее отбор Совета по профессиональным квалификациям в жилищно - коммунальном хозяйстве (далее, СПК ЖКХ) и наделенное полномочиями для проведения независимой оценки квалификации; </w:t>
      </w:r>
    </w:p>
    <w:p w14:paraId="2D61A517" w14:textId="77777777" w:rsidR="0003128E" w:rsidRDefault="0003128E" w:rsidP="003A0F45">
      <w:pPr>
        <w:jc w:val="both"/>
      </w:pPr>
    </w:p>
    <w:p w14:paraId="16071D0E" w14:textId="3E802DA4" w:rsidR="0003128E" w:rsidRDefault="0003128E" w:rsidP="00CF428A">
      <w:pPr>
        <w:pStyle w:val="ListParagraph"/>
        <w:numPr>
          <w:ilvl w:val="0"/>
          <w:numId w:val="7"/>
        </w:numPr>
        <w:jc w:val="both"/>
      </w:pPr>
      <w:r w:rsidRPr="00CF428A">
        <w:rPr>
          <w:b/>
          <w:highlight w:val="yellow"/>
        </w:rPr>
        <w:t>Экзаменационная площадка</w:t>
      </w:r>
      <w:r>
        <w:t xml:space="preserve"> –</w:t>
      </w:r>
      <w:r w:rsidR="00CF428A">
        <w:t xml:space="preserve"> </w:t>
      </w:r>
      <w:r>
        <w:t>структурная единица ЦОК дял проведения профессиональных экзаменов.</w:t>
      </w:r>
    </w:p>
    <w:p w14:paraId="02C797A1" w14:textId="77777777" w:rsidR="0003128E" w:rsidRDefault="0003128E" w:rsidP="003A0F45">
      <w:pPr>
        <w:jc w:val="both"/>
      </w:pPr>
    </w:p>
    <w:p w14:paraId="3E109CC2" w14:textId="2D6F9987" w:rsidR="0003128E" w:rsidRDefault="0003128E" w:rsidP="00CF428A">
      <w:pPr>
        <w:pStyle w:val="ListParagraph"/>
        <w:numPr>
          <w:ilvl w:val="0"/>
          <w:numId w:val="7"/>
        </w:numPr>
        <w:jc w:val="both"/>
      </w:pPr>
      <w:r w:rsidRPr="00CF428A">
        <w:rPr>
          <w:b/>
          <w:highlight w:val="yellow"/>
        </w:rPr>
        <w:t>Экзаменационный центр</w:t>
      </w:r>
      <w:r>
        <w:t xml:space="preserve"> – юридическое лицо, оказывающее ЦОК услуги по организации и проведению профессинальных экзаменов.</w:t>
      </w:r>
    </w:p>
    <w:p w14:paraId="100BBD73" w14:textId="77777777" w:rsidR="0003128E" w:rsidRDefault="0003128E" w:rsidP="003A0F45">
      <w:pPr>
        <w:jc w:val="both"/>
      </w:pPr>
    </w:p>
    <w:p w14:paraId="4EBC00AD" w14:textId="77777777" w:rsidR="003A0F45" w:rsidRPr="0001552F" w:rsidRDefault="003A0F45" w:rsidP="003A0F45">
      <w:pPr>
        <w:jc w:val="both"/>
      </w:pPr>
    </w:p>
    <w:p w14:paraId="6A1E4031" w14:textId="2222FD36" w:rsidR="0001552F" w:rsidRDefault="003A0F45" w:rsidP="00CF428A">
      <w:pPr>
        <w:pStyle w:val="ListParagraph"/>
        <w:numPr>
          <w:ilvl w:val="0"/>
          <w:numId w:val="7"/>
        </w:numPr>
        <w:jc w:val="both"/>
      </w:pPr>
      <w:r w:rsidRPr="00CF428A">
        <w:rPr>
          <w:b/>
          <w:highlight w:val="yellow"/>
        </w:rPr>
        <w:t>Инспекторы</w:t>
      </w:r>
      <w:r w:rsidR="0001552F" w:rsidRPr="00CF428A">
        <w:rPr>
          <w:b/>
          <w:highlight w:val="yellow"/>
        </w:rPr>
        <w:t xml:space="preserve"> ЦОК</w:t>
      </w:r>
      <w:r w:rsidR="0001552F" w:rsidRPr="0001552F">
        <w:t xml:space="preserve"> – специалисты, аттестованные в соответствии с требованиями СПК </w:t>
      </w:r>
      <w:r>
        <w:t>НСБ</w:t>
      </w:r>
      <w:r w:rsidR="0001552F" w:rsidRPr="0001552F">
        <w:t xml:space="preserve">, из состава которых формируется квалификационная комиссия; </w:t>
      </w:r>
    </w:p>
    <w:p w14:paraId="3358D3F0" w14:textId="77777777" w:rsidR="003A0F45" w:rsidRDefault="003A0F45" w:rsidP="003A0F45">
      <w:pPr>
        <w:jc w:val="both"/>
      </w:pPr>
    </w:p>
    <w:p w14:paraId="71C7776D" w14:textId="127F5974" w:rsidR="003A0F45" w:rsidRDefault="003A0F45" w:rsidP="00CF428A">
      <w:pPr>
        <w:pStyle w:val="ListParagraph"/>
        <w:numPr>
          <w:ilvl w:val="0"/>
          <w:numId w:val="7"/>
        </w:numPr>
        <w:jc w:val="both"/>
      </w:pPr>
      <w:r w:rsidRPr="00CF428A">
        <w:rPr>
          <w:b/>
          <w:highlight w:val="yellow"/>
        </w:rPr>
        <w:t>Технические эксперты</w:t>
      </w:r>
      <w:r>
        <w:t xml:space="preserve">  - сотрудники ЦОК</w:t>
      </w:r>
      <w:r w:rsidRPr="0001552F">
        <w:t xml:space="preserve"> аттестованные в соответствии с требованиями СПК </w:t>
      </w:r>
      <w:r>
        <w:t>НСБ</w:t>
      </w:r>
      <w:r w:rsidRPr="0001552F">
        <w:t xml:space="preserve">, </w:t>
      </w:r>
      <w:r>
        <w:t>входящие в состав квалификационной комиссии ЦОК</w:t>
      </w:r>
      <w:r w:rsidRPr="0001552F">
        <w:t>;</w:t>
      </w:r>
    </w:p>
    <w:p w14:paraId="1D72C8F0" w14:textId="77777777" w:rsidR="003A0F45" w:rsidRPr="0001552F" w:rsidRDefault="003A0F45" w:rsidP="003A0F45">
      <w:pPr>
        <w:jc w:val="both"/>
      </w:pPr>
    </w:p>
    <w:p w14:paraId="2591789C" w14:textId="2755B2B6" w:rsidR="0001552F" w:rsidRPr="00CF428A" w:rsidRDefault="0001552F" w:rsidP="00CF428A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428A">
        <w:rPr>
          <w:b/>
          <w:highlight w:val="yellow"/>
        </w:rPr>
        <w:t>Профессиональный экзамен</w:t>
      </w:r>
      <w:r w:rsidRPr="0001552F">
        <w:t xml:space="preserve"> – профессиональный экзамен, проводимый ЦОК по инициативе соискателя за счет средств соискателя, иных физических и (или) юридических лиц либо по направлению работодателя за счет средств работодателя* в порядке, установленном </w:t>
      </w:r>
      <w:r w:rsidR="0003128E">
        <w:t xml:space="preserve">Постановлением Правительства </w:t>
      </w:r>
      <w:r w:rsidR="0003128E" w:rsidRPr="0003128E">
        <w:t>от 16 ноября 2016 г. N 1204 «Об утверждении правил проведения оценки квалификации в форме профессионального экзамена».</w:t>
      </w:r>
    </w:p>
    <w:p w14:paraId="3A977556" w14:textId="77777777" w:rsidR="003A0F45" w:rsidRDefault="003A0F45" w:rsidP="0001552F"/>
    <w:p w14:paraId="42DD5279" w14:textId="77777777" w:rsidR="0001552F" w:rsidRPr="00CF428A" w:rsidRDefault="0001552F" w:rsidP="00CF428A">
      <w:pPr>
        <w:pStyle w:val="ListParagraph"/>
        <w:numPr>
          <w:ilvl w:val="0"/>
          <w:numId w:val="7"/>
        </w:numPr>
        <w:jc w:val="both"/>
        <w:rPr>
          <w:i/>
        </w:rPr>
      </w:pPr>
      <w:r w:rsidRPr="00CF428A">
        <w:rPr>
          <w:i/>
        </w:rPr>
        <w:t xml:space="preserve">*Расходы работодателей на оценку квалификации можно относить к прочим расходам, связанным с производством и реализацией товаров (работ, услуг) (ст. 264 Налогового Кодекса РФ); </w:t>
      </w:r>
    </w:p>
    <w:p w14:paraId="5F7D2594" w14:textId="77777777" w:rsidR="003A0F45" w:rsidRPr="0001552F" w:rsidRDefault="003A0F45" w:rsidP="0001552F"/>
    <w:p w14:paraId="3FB1B6A9" w14:textId="77777777" w:rsidR="0001552F" w:rsidRDefault="0001552F" w:rsidP="00CF428A">
      <w:pPr>
        <w:pStyle w:val="ListParagraph"/>
        <w:numPr>
          <w:ilvl w:val="0"/>
          <w:numId w:val="7"/>
        </w:numPr>
        <w:jc w:val="both"/>
      </w:pPr>
      <w:r w:rsidRPr="00CF428A">
        <w:rPr>
          <w:b/>
          <w:highlight w:val="yellow"/>
        </w:rPr>
        <w:t>Соискатели</w:t>
      </w:r>
      <w:r w:rsidRPr="0001552F">
        <w:t xml:space="preserve"> – работник или претендующее на осуществление определенного вида трудовой деятельности лицо, обратившиеся, в том числе по направлению работодателя, в центр оценки квалификаций для подтверждения своей квалификации в порядке, установленном Федеральным законом от 3 июля 2016 года No238-ФЗ «О независимой оценке квалификаций»; </w:t>
      </w:r>
    </w:p>
    <w:p w14:paraId="5F178797" w14:textId="77777777" w:rsidR="003A0F45" w:rsidRPr="0001552F" w:rsidRDefault="003A0F45" w:rsidP="0003128E">
      <w:pPr>
        <w:jc w:val="both"/>
      </w:pPr>
    </w:p>
    <w:p w14:paraId="1FB94EE8" w14:textId="77777777" w:rsidR="0001552F" w:rsidRDefault="0001552F" w:rsidP="00CF428A">
      <w:pPr>
        <w:pStyle w:val="ListParagraph"/>
        <w:numPr>
          <w:ilvl w:val="0"/>
          <w:numId w:val="7"/>
        </w:numPr>
        <w:jc w:val="both"/>
      </w:pPr>
      <w:r w:rsidRPr="00CF428A">
        <w:rPr>
          <w:b/>
          <w:highlight w:val="yellow"/>
        </w:rPr>
        <w:t>Оценочные средства</w:t>
      </w:r>
      <w:r w:rsidRPr="0001552F">
        <w:t xml:space="preserve"> - оценочные средства для проведения независимой оценки квалификации - комплекс заданий, критериев оценки, используемых центрами оценки квалификаций при проведении профессионального экзамена; </w:t>
      </w:r>
    </w:p>
    <w:p w14:paraId="24B98A1E" w14:textId="77777777" w:rsidR="003A0F45" w:rsidRPr="0001552F" w:rsidRDefault="003A0F45" w:rsidP="0003128E">
      <w:pPr>
        <w:jc w:val="both"/>
      </w:pPr>
    </w:p>
    <w:p w14:paraId="2314E822" w14:textId="4210741B" w:rsidR="0001552F" w:rsidRDefault="0001552F" w:rsidP="00CF428A">
      <w:pPr>
        <w:pStyle w:val="ListParagraph"/>
        <w:numPr>
          <w:ilvl w:val="0"/>
          <w:numId w:val="7"/>
        </w:numPr>
        <w:jc w:val="both"/>
      </w:pPr>
      <w:r w:rsidRPr="00CF428A">
        <w:rPr>
          <w:b/>
          <w:highlight w:val="yellow"/>
        </w:rPr>
        <w:t>Свидетельство о профессиональной квалификации</w:t>
      </w:r>
      <w:r w:rsidRPr="0001552F">
        <w:t xml:space="preserve"> – </w:t>
      </w:r>
      <w:r w:rsidR="0003128E">
        <w:t xml:space="preserve">утвержденный СПК НСБ </w:t>
      </w:r>
      <w:r w:rsidRPr="0001552F">
        <w:t xml:space="preserve">документ, удостоверяющий профессиональную квалификацию соискателя, подтвержденную в ходе профессионального экзамена. </w:t>
      </w:r>
    </w:p>
    <w:p w14:paraId="0C430947" w14:textId="77777777" w:rsidR="0003128E" w:rsidRDefault="0003128E" w:rsidP="0001552F"/>
    <w:p w14:paraId="741A2F9F" w14:textId="77777777" w:rsidR="00756EE7" w:rsidRPr="0001552F" w:rsidRDefault="00756EE7" w:rsidP="0001552F"/>
    <w:p w14:paraId="2BA1EDB6" w14:textId="3E37E116" w:rsidR="0001552F" w:rsidRPr="00CC1A90" w:rsidRDefault="0001552F" w:rsidP="00CC1A90">
      <w:pPr>
        <w:pStyle w:val="ListParagraph"/>
        <w:numPr>
          <w:ilvl w:val="0"/>
          <w:numId w:val="4"/>
        </w:numPr>
        <w:rPr>
          <w:b/>
        </w:rPr>
      </w:pPr>
      <w:r w:rsidRPr="00CC1A90">
        <w:rPr>
          <w:b/>
        </w:rPr>
        <w:t xml:space="preserve">Цели применения методики. </w:t>
      </w:r>
    </w:p>
    <w:p w14:paraId="7E2917D6" w14:textId="77777777" w:rsidR="00756EE7" w:rsidRPr="0001552F" w:rsidRDefault="00756EE7" w:rsidP="00756EE7">
      <w:pPr>
        <w:pStyle w:val="ListParagraph"/>
        <w:ind w:left="1080"/>
      </w:pPr>
    </w:p>
    <w:p w14:paraId="28173ABA" w14:textId="13AA4823" w:rsidR="00CC1A90" w:rsidRDefault="00C90BB6" w:rsidP="00CC1A90">
      <w:pPr>
        <w:jc w:val="both"/>
      </w:pPr>
      <w:r>
        <w:t xml:space="preserve">3.1 </w:t>
      </w:r>
      <w:r w:rsidR="0001552F" w:rsidRPr="0001552F">
        <w:t>Метод</w:t>
      </w:r>
      <w:r w:rsidR="00CC1A90">
        <w:t>ика определения стоимости услуг НОК</w:t>
      </w:r>
      <w:r w:rsidR="0001552F" w:rsidRPr="0001552F">
        <w:t xml:space="preserve"> разработана в целях:</w:t>
      </w:r>
    </w:p>
    <w:p w14:paraId="6A0A3796" w14:textId="77777777" w:rsidR="00CC1A90" w:rsidRDefault="00CC1A90" w:rsidP="00CC1A90">
      <w:pPr>
        <w:ind w:left="720"/>
        <w:jc w:val="both"/>
      </w:pPr>
    </w:p>
    <w:p w14:paraId="1225BE68" w14:textId="6F2392D7" w:rsidR="00CC1A90" w:rsidRPr="00CF428A" w:rsidRDefault="0001552F" w:rsidP="00484DB0">
      <w:pPr>
        <w:pStyle w:val="ListParagraph"/>
        <w:numPr>
          <w:ilvl w:val="0"/>
          <w:numId w:val="6"/>
        </w:numPr>
        <w:jc w:val="both"/>
        <w:rPr>
          <w:highlight w:val="green"/>
        </w:rPr>
      </w:pPr>
      <w:r w:rsidRPr="00CF428A">
        <w:rPr>
          <w:highlight w:val="green"/>
        </w:rPr>
        <w:t>установления экономически обоснованных механизмов опред</w:t>
      </w:r>
      <w:r w:rsidR="00756EE7" w:rsidRPr="00CF428A">
        <w:rPr>
          <w:highlight w:val="green"/>
        </w:rPr>
        <w:t>еления стоимости услуги по НОК;</w:t>
      </w:r>
    </w:p>
    <w:p w14:paraId="35775291" w14:textId="68DB2697" w:rsidR="00756EE7" w:rsidRDefault="0001552F" w:rsidP="00484DB0">
      <w:pPr>
        <w:pStyle w:val="ListParagraph"/>
        <w:numPr>
          <w:ilvl w:val="0"/>
          <w:numId w:val="6"/>
        </w:numPr>
        <w:jc w:val="both"/>
      </w:pPr>
      <w:r w:rsidRPr="0001552F">
        <w:t>установления единой методики определения стоимости услуги по НОК</w:t>
      </w:r>
      <w:r w:rsidR="00C90BB6">
        <w:t xml:space="preserve"> для всех охранных ЦОК</w:t>
      </w:r>
      <w:r w:rsidRPr="0001552F">
        <w:t>;</w:t>
      </w:r>
    </w:p>
    <w:p w14:paraId="27DA45AB" w14:textId="42C54395" w:rsidR="00C90BB6" w:rsidRDefault="0001552F" w:rsidP="00484DB0">
      <w:pPr>
        <w:pStyle w:val="ListParagraph"/>
        <w:numPr>
          <w:ilvl w:val="0"/>
          <w:numId w:val="6"/>
        </w:numPr>
        <w:jc w:val="both"/>
      </w:pPr>
      <w:r w:rsidRPr="0001552F">
        <w:t xml:space="preserve">обеспечения финансовой доступности для соискателей процедур НОК; </w:t>
      </w:r>
    </w:p>
    <w:p w14:paraId="7BAF6B0A" w14:textId="63BCF64C" w:rsidR="00C90BB6" w:rsidRPr="00CF428A" w:rsidRDefault="0001552F" w:rsidP="00484DB0">
      <w:pPr>
        <w:pStyle w:val="ListParagraph"/>
        <w:numPr>
          <w:ilvl w:val="0"/>
          <w:numId w:val="6"/>
        </w:numPr>
        <w:jc w:val="both"/>
        <w:rPr>
          <w:highlight w:val="green"/>
        </w:rPr>
      </w:pPr>
      <w:r w:rsidRPr="00CF428A">
        <w:rPr>
          <w:highlight w:val="green"/>
        </w:rPr>
        <w:t xml:space="preserve">возмещения ЦОК экономически обоснованных затрат, связанных с НОК; удовлетворения платежеспособного спроса на услуги по НОК; </w:t>
      </w:r>
    </w:p>
    <w:p w14:paraId="5A50172C" w14:textId="77777777" w:rsidR="0001552F" w:rsidRDefault="0001552F" w:rsidP="00484DB0">
      <w:pPr>
        <w:pStyle w:val="ListParagraph"/>
        <w:numPr>
          <w:ilvl w:val="0"/>
          <w:numId w:val="6"/>
        </w:numPr>
        <w:jc w:val="both"/>
      </w:pPr>
      <w:r w:rsidRPr="0001552F">
        <w:t xml:space="preserve">учета в структуре стоимости услуг по НОК различных категорий и уровней квалификации соискателей, оценочных средств и необходимого уровня материально – технического обеспечения процедуры проведения профессионального экзамена. </w:t>
      </w:r>
    </w:p>
    <w:p w14:paraId="4D95E3E7" w14:textId="77777777" w:rsidR="00756EE7" w:rsidRPr="0001552F" w:rsidRDefault="00756EE7" w:rsidP="0001552F"/>
    <w:p w14:paraId="0A54E47F" w14:textId="77777777" w:rsidR="0001552F" w:rsidRDefault="0001552F" w:rsidP="0001552F">
      <w:r w:rsidRPr="0001552F">
        <w:t>3.2. </w:t>
      </w:r>
      <w:r w:rsidR="00756EE7" w:rsidRPr="00756EE7">
        <w:t xml:space="preserve"> </w:t>
      </w:r>
      <w:r w:rsidR="00756EE7" w:rsidRPr="0001552F">
        <w:t xml:space="preserve">Контроль за соблюдением Методики и стоимости услуг по НОК </w:t>
      </w:r>
      <w:r w:rsidRPr="0001552F">
        <w:t xml:space="preserve">осуществляет СПК </w:t>
      </w:r>
      <w:r w:rsidR="00756EE7">
        <w:t>НСБ</w:t>
      </w:r>
      <w:r w:rsidRPr="0001552F">
        <w:t xml:space="preserve">. </w:t>
      </w:r>
    </w:p>
    <w:p w14:paraId="75CE8BDD" w14:textId="77777777" w:rsidR="00756EE7" w:rsidRPr="0001552F" w:rsidRDefault="00756EE7" w:rsidP="0001552F"/>
    <w:p w14:paraId="0FD8922D" w14:textId="77777777" w:rsidR="0001552F" w:rsidRPr="00992E4A" w:rsidRDefault="0001552F" w:rsidP="0001552F">
      <w:pPr>
        <w:rPr>
          <w:b/>
        </w:rPr>
      </w:pPr>
      <w:r w:rsidRPr="00992E4A">
        <w:rPr>
          <w:b/>
        </w:rPr>
        <w:t xml:space="preserve">4. Расчет стоимости услуги. </w:t>
      </w:r>
    </w:p>
    <w:p w14:paraId="026C899D" w14:textId="77777777" w:rsidR="00756EE7" w:rsidRPr="0001552F" w:rsidRDefault="00756EE7" w:rsidP="0001552F"/>
    <w:p w14:paraId="18E80788" w14:textId="77777777" w:rsidR="0001552F" w:rsidRDefault="0001552F" w:rsidP="0001552F">
      <w:r w:rsidRPr="0001552F">
        <w:t xml:space="preserve">4.1. </w:t>
      </w:r>
      <w:r w:rsidR="00756EE7">
        <w:t>В общем случ</w:t>
      </w:r>
      <w:r w:rsidR="00855561">
        <w:t xml:space="preserve">ае стоимость услуг ЦОК по организации и проведению </w:t>
      </w:r>
      <w:r w:rsidR="00756EE7">
        <w:t>НОК</w:t>
      </w:r>
      <w:r w:rsidRPr="0001552F">
        <w:t xml:space="preserve"> по квалификаций</w:t>
      </w:r>
      <w:r w:rsidR="00855561">
        <w:t xml:space="preserve"> для одного соискателя </w:t>
      </w:r>
      <w:r w:rsidRPr="0001552F">
        <w:t xml:space="preserve">формируется в соответствии со следующей формулой: </w:t>
      </w:r>
    </w:p>
    <w:p w14:paraId="1875A86E" w14:textId="77777777" w:rsidR="00861BF5" w:rsidRDefault="00861BF5" w:rsidP="0001552F"/>
    <w:p w14:paraId="72BD45D0" w14:textId="77777777" w:rsidR="00CB47B2" w:rsidRDefault="00CB47B2" w:rsidP="00CB47B2">
      <w:r>
        <w:rPr>
          <w:b/>
          <w:highlight w:val="cyan"/>
        </w:rPr>
        <w:t xml:space="preserve">К1 </w:t>
      </w:r>
      <w:r w:rsidRPr="00CB47B2">
        <w:rPr>
          <w:highlight w:val="cyan"/>
        </w:rPr>
        <w:t>Х</w:t>
      </w:r>
      <w:r>
        <w:rPr>
          <w:b/>
          <w:highlight w:val="cyan"/>
        </w:rPr>
        <w:t xml:space="preserve"> МРОТ </w:t>
      </w:r>
      <w:r>
        <w:rPr>
          <w:b/>
        </w:rPr>
        <w:t xml:space="preserve">, </w:t>
      </w:r>
      <w:r w:rsidR="00B401A0" w:rsidRPr="00B401A0">
        <w:t xml:space="preserve">где </w:t>
      </w:r>
      <w:r>
        <w:t xml:space="preserve">К1  - коэффициент себестоимости экзаменов. </w:t>
      </w:r>
      <w:r w:rsidR="00B401A0" w:rsidRPr="00B401A0">
        <w:t>МРОТ – минимальный размер оплаты труда</w:t>
      </w:r>
      <w:r>
        <w:t xml:space="preserve">, который определяется </w:t>
      </w:r>
      <w:r w:rsidRPr="00CB47B2">
        <w:t>в</w:t>
      </w:r>
      <w:r w:rsidR="00EF2396" w:rsidRPr="00861BF5">
        <w:t xml:space="preserve"> соответствии с Федеральным законом от 19.06.2000 N 82-ФЗ  "О минимальном размере оплаты труда"</w:t>
      </w:r>
      <w:r>
        <w:t>.</w:t>
      </w:r>
    </w:p>
    <w:p w14:paraId="5C8C6181" w14:textId="622C2CBA" w:rsidR="00EF2396" w:rsidRPr="00861BF5" w:rsidRDefault="00EF2396" w:rsidP="00CB47B2">
      <w:pPr>
        <w:rPr>
          <w:b/>
        </w:rPr>
      </w:pPr>
      <w:r w:rsidRPr="00861BF5">
        <w:rPr>
          <w:b/>
        </w:rPr>
        <w:t xml:space="preserve"> МРОТ  с 1 января 2021 года установлен в сумме 12 792 рубля в месяц.</w:t>
      </w:r>
    </w:p>
    <w:p w14:paraId="4FADE08D" w14:textId="77777777" w:rsidR="00EF2396" w:rsidRDefault="00EF2396" w:rsidP="0001552F"/>
    <w:p w14:paraId="71199A42" w14:textId="0C665BB9" w:rsidR="00756EE7" w:rsidRDefault="00C90BB6" w:rsidP="0001552F">
      <w:r>
        <w:t xml:space="preserve">Таблица </w:t>
      </w:r>
      <w:r w:rsidR="00C465F9">
        <w:t>коэффициентов</w:t>
      </w:r>
      <w:r>
        <w:t xml:space="preserve"> стоимости НОК для соискателей </w:t>
      </w:r>
      <w:r w:rsidR="00EF2396">
        <w:t xml:space="preserve">охранных </w:t>
      </w:r>
      <w:r>
        <w:t>квалификаций :</w:t>
      </w:r>
    </w:p>
    <w:p w14:paraId="52E22633" w14:textId="77777777" w:rsidR="00EF2396" w:rsidRDefault="00EF2396" w:rsidP="0001552F"/>
    <w:p w14:paraId="7E3FD6A0" w14:textId="20573C3A" w:rsidR="00756EE7" w:rsidRDefault="00C90BB6" w:rsidP="00C90BB6">
      <w:pPr>
        <w:pStyle w:val="ListParagraph"/>
        <w:numPr>
          <w:ilvl w:val="0"/>
          <w:numId w:val="5"/>
        </w:numPr>
        <w:ind w:left="284" w:hanging="284"/>
      </w:pPr>
      <w:r>
        <w:t xml:space="preserve"> </w:t>
      </w:r>
      <w:r w:rsidR="00855561">
        <w:t>“Работник по обеспечению безопасности”</w:t>
      </w:r>
      <w:r>
        <w:t xml:space="preserve"> -</w:t>
      </w:r>
      <w:r w:rsidR="00855561">
        <w:t xml:space="preserve"> </w:t>
      </w:r>
      <w:r w:rsidR="00484DB0" w:rsidRPr="00CB47B2">
        <w:rPr>
          <w:b/>
          <w:highlight w:val="cyan"/>
        </w:rPr>
        <w:t>1/3</w:t>
      </w:r>
      <w:r w:rsidR="00756EE7" w:rsidRPr="00CB47B2">
        <w:rPr>
          <w:b/>
          <w:highlight w:val="cyan"/>
        </w:rPr>
        <w:t xml:space="preserve"> МРОТ</w:t>
      </w:r>
      <w:r w:rsidR="00756EE7">
        <w:t xml:space="preserve"> </w:t>
      </w:r>
      <w:r>
        <w:t xml:space="preserve"> - 2 кв. уровень   </w:t>
      </w:r>
    </w:p>
    <w:p w14:paraId="7219B3AE" w14:textId="4EED2F6A" w:rsidR="00855561" w:rsidRDefault="00855561" w:rsidP="00C90BB6">
      <w:pPr>
        <w:pStyle w:val="ListParagraph"/>
        <w:numPr>
          <w:ilvl w:val="0"/>
          <w:numId w:val="5"/>
        </w:numPr>
        <w:ind w:left="284" w:hanging="284"/>
      </w:pPr>
      <w:r>
        <w:t xml:space="preserve"> “Охранник”</w:t>
      </w:r>
      <w:r w:rsidR="00EF2396">
        <w:t xml:space="preserve"> -</w:t>
      </w:r>
      <w:r>
        <w:t xml:space="preserve"> </w:t>
      </w:r>
      <w:r w:rsidRPr="00CB47B2">
        <w:rPr>
          <w:b/>
          <w:highlight w:val="cyan"/>
        </w:rPr>
        <w:t>1 МРОТ</w:t>
      </w:r>
      <w:r w:rsidRPr="00EF2396">
        <w:rPr>
          <w:b/>
        </w:rPr>
        <w:t xml:space="preserve"> </w:t>
      </w:r>
      <w:r w:rsidR="00C90BB6">
        <w:t xml:space="preserve">-  3 кв. уровень  </w:t>
      </w:r>
    </w:p>
    <w:p w14:paraId="5F0F0847" w14:textId="1C208ED9" w:rsidR="00855561" w:rsidRDefault="00C90BB6" w:rsidP="00C90BB6">
      <w:pPr>
        <w:pStyle w:val="ListParagraph"/>
        <w:numPr>
          <w:ilvl w:val="0"/>
          <w:numId w:val="5"/>
        </w:numPr>
        <w:ind w:left="284" w:hanging="284"/>
      </w:pPr>
      <w:r>
        <w:t xml:space="preserve"> </w:t>
      </w:r>
      <w:r w:rsidR="00855561">
        <w:t>“Старший охранник”</w:t>
      </w:r>
      <w:r>
        <w:t xml:space="preserve"> -</w:t>
      </w:r>
      <w:r w:rsidR="00992E4A">
        <w:t xml:space="preserve"> </w:t>
      </w:r>
      <w:r w:rsidR="00992E4A" w:rsidRPr="00CB47B2">
        <w:rPr>
          <w:b/>
          <w:highlight w:val="cyan"/>
        </w:rPr>
        <w:t>1 МРОТ</w:t>
      </w:r>
      <w:r>
        <w:t xml:space="preserve"> - 4 кв. уровень</w:t>
      </w:r>
      <w:r w:rsidRPr="0001552F">
        <w:t xml:space="preserve"> </w:t>
      </w:r>
      <w:r>
        <w:t xml:space="preserve"> </w:t>
      </w:r>
    </w:p>
    <w:p w14:paraId="5EBD858D" w14:textId="52FAC491" w:rsidR="00992E4A" w:rsidRDefault="00C90BB6" w:rsidP="00C90BB6">
      <w:pPr>
        <w:pStyle w:val="ListParagraph"/>
        <w:numPr>
          <w:ilvl w:val="0"/>
          <w:numId w:val="5"/>
        </w:numPr>
        <w:ind w:left="284" w:hanging="284"/>
      </w:pPr>
      <w:r>
        <w:t xml:space="preserve"> </w:t>
      </w:r>
      <w:r w:rsidR="00992E4A">
        <w:t xml:space="preserve">“Телохранитель” </w:t>
      </w:r>
      <w:r w:rsidR="000C1317">
        <w:t>–</w:t>
      </w:r>
      <w:r w:rsidR="00EF2396">
        <w:t xml:space="preserve"> </w:t>
      </w:r>
      <w:r w:rsidR="00992E4A" w:rsidRPr="00CB47B2">
        <w:rPr>
          <w:b/>
          <w:highlight w:val="cyan"/>
        </w:rPr>
        <w:t>2</w:t>
      </w:r>
      <w:r w:rsidR="000C1317" w:rsidRPr="00CB47B2">
        <w:rPr>
          <w:b/>
          <w:highlight w:val="cyan"/>
        </w:rPr>
        <w:t>,5</w:t>
      </w:r>
      <w:r w:rsidR="00992E4A" w:rsidRPr="00CB47B2">
        <w:rPr>
          <w:b/>
          <w:highlight w:val="cyan"/>
        </w:rPr>
        <w:t xml:space="preserve"> МРОТ</w:t>
      </w:r>
      <w:r>
        <w:t xml:space="preserve"> -</w:t>
      </w:r>
      <w:r w:rsidR="00992E4A">
        <w:t xml:space="preserve"> </w:t>
      </w:r>
      <w:r>
        <w:t xml:space="preserve">4 кв. уровень  </w:t>
      </w:r>
    </w:p>
    <w:p w14:paraId="27B9526F" w14:textId="683DD31E" w:rsidR="00992E4A" w:rsidRDefault="00C90BB6" w:rsidP="00C90BB6">
      <w:pPr>
        <w:pStyle w:val="ListParagraph"/>
        <w:numPr>
          <w:ilvl w:val="0"/>
          <w:numId w:val="5"/>
        </w:numPr>
        <w:ind w:left="284" w:hanging="284"/>
      </w:pPr>
      <w:r>
        <w:t xml:space="preserve"> “Инкассатор” </w:t>
      </w:r>
      <w:r w:rsidR="000C1317">
        <w:t>–</w:t>
      </w:r>
      <w:r w:rsidR="00992E4A">
        <w:t xml:space="preserve"> </w:t>
      </w:r>
      <w:r w:rsidR="00992E4A" w:rsidRPr="00CB47B2">
        <w:rPr>
          <w:b/>
          <w:highlight w:val="cyan"/>
        </w:rPr>
        <w:t>2</w:t>
      </w:r>
      <w:r w:rsidR="000C1317" w:rsidRPr="00CB47B2">
        <w:rPr>
          <w:b/>
          <w:highlight w:val="cyan"/>
        </w:rPr>
        <w:t>,5</w:t>
      </w:r>
      <w:r w:rsidR="00992E4A" w:rsidRPr="00CB47B2">
        <w:rPr>
          <w:b/>
          <w:highlight w:val="cyan"/>
        </w:rPr>
        <w:t xml:space="preserve"> МРОТ</w:t>
      </w:r>
      <w:r>
        <w:t xml:space="preserve"> - 4 кв. уровень</w:t>
      </w:r>
      <w:r w:rsidRPr="0001552F">
        <w:t xml:space="preserve"> </w:t>
      </w:r>
      <w:r>
        <w:t xml:space="preserve"> </w:t>
      </w:r>
    </w:p>
    <w:p w14:paraId="0B9C287F" w14:textId="7EEEDD89" w:rsidR="00855561" w:rsidRDefault="00C90BB6" w:rsidP="00C90BB6">
      <w:pPr>
        <w:pStyle w:val="ListParagraph"/>
        <w:numPr>
          <w:ilvl w:val="0"/>
          <w:numId w:val="5"/>
        </w:numPr>
        <w:ind w:left="142" w:hanging="142"/>
      </w:pPr>
      <w:r>
        <w:t xml:space="preserve">     </w:t>
      </w:r>
      <w:r w:rsidR="00992E4A">
        <w:t>“Старший инкассатор”</w:t>
      </w:r>
      <w:r w:rsidR="000C1317">
        <w:t>, “Телохранитель прикрепленный”</w:t>
      </w:r>
      <w:r w:rsidR="00EF2396">
        <w:t xml:space="preserve">- </w:t>
      </w:r>
      <w:r w:rsidR="00855561" w:rsidRPr="00CB47B2">
        <w:rPr>
          <w:b/>
          <w:highlight w:val="cyan"/>
        </w:rPr>
        <w:t>2</w:t>
      </w:r>
      <w:r w:rsidR="000C1317" w:rsidRPr="00CB47B2">
        <w:rPr>
          <w:b/>
          <w:highlight w:val="cyan"/>
        </w:rPr>
        <w:t>,5</w:t>
      </w:r>
      <w:r w:rsidR="00855561" w:rsidRPr="00CB47B2">
        <w:rPr>
          <w:b/>
          <w:highlight w:val="cyan"/>
        </w:rPr>
        <w:t xml:space="preserve"> МРОТ</w:t>
      </w:r>
      <w:r>
        <w:t xml:space="preserve"> - 5 кв. уровень  </w:t>
      </w:r>
    </w:p>
    <w:p w14:paraId="00CA3E26" w14:textId="5352F27B" w:rsidR="00992E4A" w:rsidRDefault="00992E4A" w:rsidP="00C90BB6">
      <w:pPr>
        <w:pStyle w:val="ListParagraph"/>
        <w:numPr>
          <w:ilvl w:val="0"/>
          <w:numId w:val="5"/>
        </w:numPr>
        <w:ind w:left="426" w:hanging="426"/>
      </w:pPr>
      <w:r>
        <w:t>“Руко</w:t>
      </w:r>
      <w:r w:rsidR="00C90BB6">
        <w:t>водитель охранной организации” -</w:t>
      </w:r>
      <w:r>
        <w:t xml:space="preserve"> </w:t>
      </w:r>
      <w:r w:rsidR="000C1317" w:rsidRPr="00CB47B2">
        <w:rPr>
          <w:b/>
          <w:highlight w:val="cyan"/>
        </w:rPr>
        <w:t>2</w:t>
      </w:r>
      <w:r w:rsidRPr="00CB47B2">
        <w:rPr>
          <w:b/>
          <w:highlight w:val="cyan"/>
        </w:rPr>
        <w:t xml:space="preserve"> МРОТ</w:t>
      </w:r>
      <w:r w:rsidR="00C90BB6">
        <w:t xml:space="preserve"> - 5 кв. уровень  </w:t>
      </w:r>
    </w:p>
    <w:p w14:paraId="69BED925" w14:textId="69FB7961" w:rsidR="00992E4A" w:rsidRDefault="00B401A0" w:rsidP="00B401A0">
      <w:pPr>
        <w:pStyle w:val="ListParagraph"/>
        <w:numPr>
          <w:ilvl w:val="0"/>
          <w:numId w:val="5"/>
        </w:numPr>
        <w:ind w:left="142" w:hanging="142"/>
      </w:pPr>
      <w:r>
        <w:t xml:space="preserve">    </w:t>
      </w:r>
      <w:r w:rsidR="00C90BB6">
        <w:t xml:space="preserve"> </w:t>
      </w:r>
      <w:r w:rsidR="00992E4A">
        <w:t xml:space="preserve">“Руководитель подразделения личной охраны” “Руководитель подразделения инкассации” – </w:t>
      </w:r>
      <w:r w:rsidR="000C1317" w:rsidRPr="00CB47B2">
        <w:rPr>
          <w:b/>
          <w:highlight w:val="cyan"/>
        </w:rPr>
        <w:t>2</w:t>
      </w:r>
      <w:r w:rsidR="00992E4A" w:rsidRPr="00CB47B2">
        <w:rPr>
          <w:b/>
          <w:highlight w:val="cyan"/>
        </w:rPr>
        <w:t xml:space="preserve"> МРОТ</w:t>
      </w:r>
      <w:r>
        <w:t xml:space="preserve"> - 6 кв. </w:t>
      </w:r>
      <w:r w:rsidR="0086392A">
        <w:t>У</w:t>
      </w:r>
      <w:r>
        <w:t>ровень</w:t>
      </w:r>
    </w:p>
    <w:p w14:paraId="5CB00731" w14:textId="77777777" w:rsidR="0086392A" w:rsidRDefault="0086392A" w:rsidP="0086392A"/>
    <w:p w14:paraId="4DFA11A4" w14:textId="3536CD49" w:rsidR="0086392A" w:rsidRDefault="0086392A" w:rsidP="00CB47B2">
      <w:pPr>
        <w:jc w:val="both"/>
      </w:pPr>
      <w:r>
        <w:t xml:space="preserve">4.2 </w:t>
      </w:r>
      <w:r w:rsidRPr="00CF428A">
        <w:rPr>
          <w:highlight w:val="green"/>
        </w:rPr>
        <w:t xml:space="preserve">Для квалификаций “Телохранитель-водитель” и “Инкассатор- водитель” 4 кв. </w:t>
      </w:r>
      <w:r w:rsidR="00CB47B2" w:rsidRPr="00CF428A">
        <w:rPr>
          <w:highlight w:val="green"/>
        </w:rPr>
        <w:t>у</w:t>
      </w:r>
      <w:r w:rsidRPr="00CF428A">
        <w:rPr>
          <w:highlight w:val="green"/>
        </w:rPr>
        <w:t>ровня стоимость дополнительного профессионального экзамена по управлению автомобилем определяет ЦОК</w:t>
      </w:r>
      <w:r w:rsidR="00CB47B2" w:rsidRPr="00CF428A">
        <w:rPr>
          <w:highlight w:val="green"/>
        </w:rPr>
        <w:t xml:space="preserve"> на основе миимальных тарифов профильных экзаменационных центров (автошкол, автодромов)</w:t>
      </w:r>
      <w:r w:rsidRPr="00CF428A">
        <w:rPr>
          <w:highlight w:val="green"/>
        </w:rPr>
        <w:t>.</w:t>
      </w:r>
      <w:r>
        <w:t xml:space="preserve"> </w:t>
      </w:r>
    </w:p>
    <w:p w14:paraId="04976255" w14:textId="77777777" w:rsidR="00861BF5" w:rsidRDefault="00861BF5" w:rsidP="0001552F"/>
    <w:p w14:paraId="3EA40F27" w14:textId="307899FD" w:rsidR="00855561" w:rsidRDefault="0086392A" w:rsidP="00B401A0">
      <w:pPr>
        <w:jc w:val="both"/>
      </w:pPr>
      <w:r>
        <w:t>4.3</w:t>
      </w:r>
      <w:r w:rsidR="00B401A0">
        <w:t xml:space="preserve"> </w:t>
      </w:r>
      <w:r w:rsidR="00B401A0" w:rsidRPr="00CF428A">
        <w:rPr>
          <w:highlight w:val="yellow"/>
        </w:rPr>
        <w:t>Данный расчет рекомендован для для минимальной группы</w:t>
      </w:r>
      <w:r w:rsidR="00861BF5" w:rsidRPr="00CF428A">
        <w:rPr>
          <w:highlight w:val="yellow"/>
        </w:rPr>
        <w:t xml:space="preserve"> соискателей</w:t>
      </w:r>
      <w:r w:rsidR="00B401A0" w:rsidRPr="00CF428A">
        <w:rPr>
          <w:highlight w:val="yellow"/>
        </w:rPr>
        <w:t xml:space="preserve"> в</w:t>
      </w:r>
      <w:r w:rsidR="00861BF5" w:rsidRPr="00CF428A">
        <w:rPr>
          <w:highlight w:val="yellow"/>
        </w:rPr>
        <w:t xml:space="preserve"> 10 человек. </w:t>
      </w:r>
      <w:r w:rsidR="00B401A0" w:rsidRPr="00CF428A">
        <w:rPr>
          <w:highlight w:val="yellow"/>
        </w:rPr>
        <w:t>В случае меньшего количества соискателей цены на НОК согласуются с СПК НСБ отдельным протоколом.</w:t>
      </w:r>
      <w:r w:rsidR="00B401A0">
        <w:t xml:space="preserve">  </w:t>
      </w:r>
    </w:p>
    <w:p w14:paraId="544869E7" w14:textId="77777777" w:rsidR="00CB47B2" w:rsidRDefault="00CB47B2" w:rsidP="00B401A0">
      <w:pPr>
        <w:jc w:val="both"/>
      </w:pPr>
    </w:p>
    <w:p w14:paraId="4F9F3E82" w14:textId="435FB8DD" w:rsidR="000C1317" w:rsidRDefault="0086392A" w:rsidP="00B401A0">
      <w:pPr>
        <w:jc w:val="both"/>
      </w:pPr>
      <w:r>
        <w:t>4.4</w:t>
      </w:r>
      <w:r w:rsidR="000C1317">
        <w:t xml:space="preserve"> Стоимость для руководящих квалификаций 5 и 6 квалификационого  уровня индивидуальна и не зависит от количества соискателей на сессии. </w:t>
      </w:r>
    </w:p>
    <w:p w14:paraId="6D81379B" w14:textId="77777777" w:rsidR="00756EE7" w:rsidRDefault="00756EE7" w:rsidP="0001552F"/>
    <w:p w14:paraId="79F8F64D" w14:textId="77777777" w:rsidR="00CB47B2" w:rsidRDefault="00CB47B2" w:rsidP="0001552F">
      <w:pPr>
        <w:rPr>
          <w:b/>
        </w:rPr>
      </w:pPr>
    </w:p>
    <w:p w14:paraId="408DCDE3" w14:textId="77777777" w:rsidR="00891F7D" w:rsidRDefault="00891F7D" w:rsidP="0001552F">
      <w:pPr>
        <w:rPr>
          <w:b/>
        </w:rPr>
      </w:pPr>
    </w:p>
    <w:p w14:paraId="1B204BC4" w14:textId="77777777" w:rsidR="00891F7D" w:rsidRDefault="00891F7D" w:rsidP="0001552F">
      <w:pPr>
        <w:rPr>
          <w:b/>
        </w:rPr>
      </w:pPr>
    </w:p>
    <w:p w14:paraId="410770ED" w14:textId="77777777" w:rsidR="00891F7D" w:rsidRDefault="00891F7D" w:rsidP="0001552F">
      <w:pPr>
        <w:rPr>
          <w:b/>
        </w:rPr>
      </w:pPr>
    </w:p>
    <w:p w14:paraId="113F1944" w14:textId="77777777" w:rsidR="0001552F" w:rsidRPr="00EF2396" w:rsidRDefault="0001552F" w:rsidP="0001552F">
      <w:pPr>
        <w:rPr>
          <w:b/>
        </w:rPr>
      </w:pPr>
      <w:r w:rsidRPr="00EF2396">
        <w:rPr>
          <w:b/>
        </w:rPr>
        <w:t xml:space="preserve">5. Примеры расчета стоимости НОК. </w:t>
      </w:r>
    </w:p>
    <w:p w14:paraId="3CB9052B" w14:textId="77777777" w:rsidR="00756EE7" w:rsidRPr="00756EE7" w:rsidRDefault="00756EE7" w:rsidP="0001552F">
      <w:pPr>
        <w:rPr>
          <w:lang w:val="ru-RU"/>
        </w:rPr>
      </w:pPr>
    </w:p>
    <w:p w14:paraId="443AE228" w14:textId="22F8FAE4" w:rsidR="00CB47B2" w:rsidRDefault="00CB47B2" w:rsidP="00484DB0">
      <w:pPr>
        <w:jc w:val="both"/>
      </w:pPr>
      <w:r>
        <w:t xml:space="preserve">5.1 Для квалификации “Работник по обеспечению безопасности” для самозанятых граждан стоимость НОК составит треть от МРОТ 4 264 рубля со сроком действия на три года. </w:t>
      </w:r>
    </w:p>
    <w:p w14:paraId="3F4C0D8A" w14:textId="77777777" w:rsidR="00CB47B2" w:rsidRDefault="00CB47B2" w:rsidP="00484DB0">
      <w:pPr>
        <w:jc w:val="both"/>
      </w:pPr>
    </w:p>
    <w:p w14:paraId="38338330" w14:textId="44BDC56F" w:rsidR="00484DB0" w:rsidRDefault="00CB47B2" w:rsidP="00484DB0">
      <w:pPr>
        <w:jc w:val="both"/>
      </w:pPr>
      <w:r>
        <w:t xml:space="preserve">5.2 </w:t>
      </w:r>
      <w:r w:rsidR="00EF2396">
        <w:t xml:space="preserve">Соискатель на квалификацию “Телохранитель прикрепленный” через ЦОК СПК НСБ заявился на НОК </w:t>
      </w:r>
      <w:r w:rsidR="0001552F" w:rsidRPr="0001552F">
        <w:t xml:space="preserve">по направлению работодателя, за счет средств работодателя, для подтверждения </w:t>
      </w:r>
      <w:r w:rsidR="00EF2396">
        <w:t>(обретения)</w:t>
      </w:r>
      <w:r w:rsidR="0001552F" w:rsidRPr="0001552F">
        <w:t xml:space="preserve"> квалификации. Стоимость услуг НОК </w:t>
      </w:r>
      <w:r w:rsidR="000C1317">
        <w:t xml:space="preserve">для профессионального экзамена </w:t>
      </w:r>
      <w:r w:rsidR="0001552F" w:rsidRPr="0001552F">
        <w:t xml:space="preserve">составит </w:t>
      </w:r>
      <w:r w:rsidR="00DB68D8" w:rsidRPr="0001552F">
        <w:t>(</w:t>
      </w:r>
      <w:r w:rsidR="00DB68D8">
        <w:t>12 792 х 2,5</w:t>
      </w:r>
      <w:r w:rsidR="00DB68D8" w:rsidRPr="0001552F">
        <w:t xml:space="preserve"> </w:t>
      </w:r>
      <w:r w:rsidR="00DB68D8">
        <w:t>) =</w:t>
      </w:r>
      <w:r w:rsidR="00DB68D8" w:rsidRPr="0001552F">
        <w:t xml:space="preserve"> </w:t>
      </w:r>
      <w:r w:rsidR="000C1317">
        <w:t>31 980</w:t>
      </w:r>
      <w:r w:rsidR="0001552F" w:rsidRPr="0001552F">
        <w:t xml:space="preserve"> рублей.</w:t>
      </w:r>
    </w:p>
    <w:p w14:paraId="50DFDA4B" w14:textId="174BDC20" w:rsidR="00992E4A" w:rsidRPr="0001552F" w:rsidRDefault="0001552F" w:rsidP="00CB47B2">
      <w:pPr>
        <w:jc w:val="both"/>
      </w:pPr>
      <w:r w:rsidRPr="0001552F">
        <w:t xml:space="preserve"> </w:t>
      </w:r>
    </w:p>
    <w:p w14:paraId="0803D591" w14:textId="77777777" w:rsidR="00DB68D8" w:rsidRPr="0086392A" w:rsidRDefault="0001552F" w:rsidP="00DB68D8">
      <w:pPr>
        <w:jc w:val="center"/>
        <w:rPr>
          <w:b/>
        </w:rPr>
      </w:pPr>
      <w:r w:rsidRPr="0086392A">
        <w:rPr>
          <w:b/>
        </w:rPr>
        <w:t xml:space="preserve">Таблица стоимости услуг по независимой оценке </w:t>
      </w:r>
    </w:p>
    <w:p w14:paraId="2BF5252C" w14:textId="1624C544" w:rsidR="00DB68D8" w:rsidRPr="0086392A" w:rsidRDefault="00DB68D8" w:rsidP="00DB68D8">
      <w:pPr>
        <w:jc w:val="center"/>
        <w:rPr>
          <w:b/>
        </w:rPr>
      </w:pPr>
      <w:r w:rsidRPr="0086392A">
        <w:rPr>
          <w:b/>
        </w:rPr>
        <w:t xml:space="preserve">охранных </w:t>
      </w:r>
      <w:r w:rsidR="0001552F" w:rsidRPr="0086392A">
        <w:rPr>
          <w:b/>
        </w:rPr>
        <w:t xml:space="preserve">квалификации ЦОК СПК </w:t>
      </w:r>
      <w:r w:rsidRPr="0086392A">
        <w:rPr>
          <w:b/>
        </w:rPr>
        <w:t>НСБ</w:t>
      </w:r>
      <w:r w:rsidR="0001552F" w:rsidRPr="0086392A">
        <w:rPr>
          <w:b/>
        </w:rPr>
        <w:t xml:space="preserve"> </w:t>
      </w:r>
    </w:p>
    <w:p w14:paraId="48CDE3E0" w14:textId="77777777" w:rsidR="0001552F" w:rsidRPr="0001552F" w:rsidRDefault="0001552F" w:rsidP="000C1317">
      <w:pPr>
        <w:jc w:val="both"/>
      </w:pPr>
    </w:p>
    <w:p w14:paraId="1DABEA02" w14:textId="58BD61B1" w:rsidR="0001552F" w:rsidRDefault="0086392A" w:rsidP="000C1317">
      <w:pPr>
        <w:jc w:val="both"/>
      </w:pPr>
      <w:r>
        <w:t>ЦОК</w:t>
      </w:r>
      <w:r w:rsidR="0001552F" w:rsidRPr="0001552F">
        <w:t xml:space="preserve"> на территории которого региональный МРОТ установлен более</w:t>
      </w:r>
      <w:r w:rsidR="00756EE7">
        <w:t xml:space="preserve"> </w:t>
      </w:r>
      <w:r w:rsidR="0001552F" w:rsidRPr="0001552F">
        <w:t xml:space="preserve">величины установленной в целом по экономике Российской Федерации, </w:t>
      </w:r>
      <w:r w:rsidRPr="0001552F">
        <w:t xml:space="preserve">при расчете стоимости НОК </w:t>
      </w:r>
      <w:r w:rsidR="0001552F" w:rsidRPr="0001552F">
        <w:t>вп</w:t>
      </w:r>
      <w:r>
        <w:t xml:space="preserve">раве </w:t>
      </w:r>
      <w:r w:rsidR="0001552F" w:rsidRPr="0001552F">
        <w:t xml:space="preserve">применять региональный МРОТ. </w:t>
      </w:r>
    </w:p>
    <w:tbl>
      <w:tblPr>
        <w:tblpPr w:leftFromText="180" w:rightFromText="180" w:vertAnchor="text" w:horzAnchor="page" w:tblpX="1931" w:tblpY="403"/>
        <w:tblW w:w="936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3969"/>
        <w:gridCol w:w="3261"/>
      </w:tblGrid>
      <w:tr w:rsidR="00C465F9" w:rsidRPr="0001552F" w14:paraId="3189F432" w14:textId="77777777" w:rsidTr="00CB47B2"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3D1C33" w14:textId="77777777" w:rsidR="00C465F9" w:rsidRPr="0001552F" w:rsidRDefault="00C465F9" w:rsidP="00CB47B2">
            <w:pPr>
              <w:jc w:val="center"/>
            </w:pPr>
            <w:r w:rsidRPr="0001552F">
              <w:t>Уровни квалификации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6FC9B0" w14:textId="63064D74" w:rsidR="00C465F9" w:rsidRPr="0086392A" w:rsidRDefault="00C465F9" w:rsidP="00CB47B2">
            <w:pPr>
              <w:jc w:val="center"/>
            </w:pPr>
            <w:r>
              <w:t>Значение коэффициента</w:t>
            </w:r>
            <w:r w:rsidR="00484DB0">
              <w:t xml:space="preserve"> НОК</w:t>
            </w:r>
            <w:r>
              <w:t xml:space="preserve">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9933C4" w14:textId="56D731EB" w:rsidR="00C465F9" w:rsidRPr="0001552F" w:rsidRDefault="00C465F9" w:rsidP="00CB47B2">
            <w:pPr>
              <w:jc w:val="center"/>
            </w:pPr>
            <w:r w:rsidRPr="0001552F">
              <w:t xml:space="preserve">Стоимость </w:t>
            </w:r>
            <w:r>
              <w:t xml:space="preserve">НОК </w:t>
            </w:r>
            <w:r w:rsidRPr="0001552F">
              <w:t>(рублей)</w:t>
            </w:r>
          </w:p>
        </w:tc>
      </w:tr>
      <w:tr w:rsidR="00C465F9" w:rsidRPr="0001552F" w14:paraId="42D199D4" w14:textId="77777777" w:rsidTr="00CB47B2">
        <w:tblPrEx>
          <w:tblBorders>
            <w:top w:val="none" w:sz="0" w:space="0" w:color="auto"/>
          </w:tblBorders>
        </w:tblPrEx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493B60" w14:textId="77777777" w:rsidR="00C465F9" w:rsidRPr="00484DB0" w:rsidRDefault="00C465F9" w:rsidP="00CB47B2">
            <w:pPr>
              <w:jc w:val="center"/>
              <w:rPr>
                <w:b/>
                <w:highlight w:val="cyan"/>
              </w:rPr>
            </w:pPr>
          </w:p>
          <w:p w14:paraId="3BAF29BB" w14:textId="77777777" w:rsidR="00C465F9" w:rsidRPr="00484DB0" w:rsidRDefault="00C465F9" w:rsidP="00CB47B2">
            <w:pPr>
              <w:jc w:val="center"/>
              <w:rPr>
                <w:b/>
                <w:highlight w:val="cyan"/>
              </w:rPr>
            </w:pPr>
            <w:r w:rsidRPr="00484DB0">
              <w:rPr>
                <w:b/>
                <w:highlight w:val="cyan"/>
              </w:rPr>
              <w:t>2</w:t>
            </w:r>
          </w:p>
          <w:p w14:paraId="1469DFAF" w14:textId="77777777" w:rsidR="00C465F9" w:rsidRPr="00484DB0" w:rsidRDefault="00C465F9" w:rsidP="00CB47B2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DECBFD" w14:textId="14D708FF" w:rsidR="00C465F9" w:rsidRPr="00C465F9" w:rsidRDefault="00C465F9" w:rsidP="00CB47B2">
            <w:pPr>
              <w:jc w:val="center"/>
              <w:rPr>
                <w:b/>
              </w:rPr>
            </w:pPr>
            <w:r w:rsidRPr="00C465F9">
              <w:rPr>
                <w:b/>
                <w:noProof/>
              </w:rPr>
              <w:drawing>
                <wp:inline distT="0" distB="0" distL="0" distR="0" wp14:anchorId="1AF0F435" wp14:editId="28D5565E">
                  <wp:extent cx="6350" cy="63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4DB0">
              <w:rPr>
                <w:b/>
              </w:rPr>
              <w:t>0,3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4482F9" w14:textId="32439199" w:rsidR="00C465F9" w:rsidRPr="0001552F" w:rsidRDefault="00484DB0" w:rsidP="00CB47B2">
            <w:pPr>
              <w:jc w:val="center"/>
            </w:pPr>
            <w:r w:rsidRPr="00484DB0">
              <w:rPr>
                <w:highlight w:val="cyan"/>
              </w:rPr>
              <w:t>4 264</w:t>
            </w:r>
          </w:p>
        </w:tc>
      </w:tr>
      <w:tr w:rsidR="00C465F9" w:rsidRPr="0001552F" w14:paraId="645E1B57" w14:textId="77777777" w:rsidTr="00CB47B2">
        <w:tblPrEx>
          <w:tblBorders>
            <w:top w:val="none" w:sz="0" w:space="0" w:color="auto"/>
          </w:tblBorders>
        </w:tblPrEx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35E188" w14:textId="77777777" w:rsidR="00C465F9" w:rsidRDefault="00C465F9" w:rsidP="00CB47B2">
            <w:pPr>
              <w:jc w:val="center"/>
              <w:rPr>
                <w:b/>
              </w:rPr>
            </w:pPr>
          </w:p>
          <w:p w14:paraId="7759198B" w14:textId="77777777" w:rsidR="00C465F9" w:rsidRDefault="00C465F9" w:rsidP="00CB47B2">
            <w:pPr>
              <w:jc w:val="center"/>
              <w:rPr>
                <w:b/>
              </w:rPr>
            </w:pPr>
            <w:r w:rsidRPr="00484DB0">
              <w:rPr>
                <w:b/>
                <w:highlight w:val="green"/>
              </w:rPr>
              <w:t>3</w:t>
            </w:r>
          </w:p>
          <w:p w14:paraId="7E073D71" w14:textId="666905E0" w:rsidR="00C465F9" w:rsidRPr="0086392A" w:rsidRDefault="00C465F9" w:rsidP="00CB47B2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5EE4FB" w14:textId="4E82B9AD" w:rsidR="00C465F9" w:rsidRPr="00C465F9" w:rsidRDefault="00C465F9" w:rsidP="00CB47B2">
            <w:pPr>
              <w:jc w:val="center"/>
              <w:rPr>
                <w:b/>
              </w:rPr>
            </w:pPr>
            <w:r w:rsidRPr="00C465F9">
              <w:rPr>
                <w:b/>
                <w:noProof/>
              </w:rPr>
              <w:drawing>
                <wp:inline distT="0" distB="0" distL="0" distR="0" wp14:anchorId="518BC428" wp14:editId="79F10985">
                  <wp:extent cx="6350" cy="63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65F9">
              <w:rPr>
                <w:b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8330A7" w14:textId="4ADD91A7" w:rsidR="00C465F9" w:rsidRPr="0001552F" w:rsidRDefault="00484DB0" w:rsidP="00CB47B2">
            <w:pPr>
              <w:jc w:val="center"/>
            </w:pPr>
            <w:r w:rsidRPr="00484DB0">
              <w:rPr>
                <w:highlight w:val="green"/>
              </w:rPr>
              <w:t>12 792</w:t>
            </w:r>
          </w:p>
        </w:tc>
      </w:tr>
      <w:tr w:rsidR="00C465F9" w:rsidRPr="0001552F" w14:paraId="55A96049" w14:textId="77777777" w:rsidTr="00CB47B2">
        <w:tblPrEx>
          <w:tblBorders>
            <w:top w:val="none" w:sz="0" w:space="0" w:color="auto"/>
          </w:tblBorders>
        </w:tblPrEx>
        <w:trPr>
          <w:trHeight w:val="642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4BD6B7" w14:textId="125698E2" w:rsidR="00C465F9" w:rsidRPr="0086392A" w:rsidRDefault="00C465F9" w:rsidP="00CB47B2">
            <w:pPr>
              <w:jc w:val="center"/>
              <w:rPr>
                <w:b/>
              </w:rPr>
            </w:pPr>
            <w:r w:rsidRPr="00484DB0">
              <w:rPr>
                <w:b/>
                <w:highlight w:val="green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78D27E" w14:textId="090D422A" w:rsidR="00C465F9" w:rsidRPr="00C465F9" w:rsidRDefault="00C465F9" w:rsidP="00CB47B2">
            <w:pPr>
              <w:jc w:val="center"/>
              <w:rPr>
                <w:b/>
              </w:rPr>
            </w:pPr>
            <w:r w:rsidRPr="00C465F9">
              <w:rPr>
                <w:b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300576" w14:textId="230C7B8E" w:rsidR="00C465F9" w:rsidRPr="0001552F" w:rsidRDefault="00484DB0" w:rsidP="00CB47B2">
            <w:pPr>
              <w:jc w:val="center"/>
            </w:pPr>
            <w:r w:rsidRPr="00484DB0">
              <w:rPr>
                <w:highlight w:val="green"/>
              </w:rPr>
              <w:t>12 792</w:t>
            </w:r>
          </w:p>
        </w:tc>
      </w:tr>
      <w:tr w:rsidR="00C465F9" w:rsidRPr="0001552F" w14:paraId="230AB141" w14:textId="77777777" w:rsidTr="00CB47B2">
        <w:tblPrEx>
          <w:tblBorders>
            <w:top w:val="none" w:sz="0" w:space="0" w:color="auto"/>
          </w:tblBorders>
        </w:tblPrEx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DFAD47" w14:textId="77777777" w:rsidR="00C465F9" w:rsidRPr="0086392A" w:rsidRDefault="00C465F9" w:rsidP="00CB47B2">
            <w:pPr>
              <w:jc w:val="center"/>
              <w:rPr>
                <w:b/>
              </w:rPr>
            </w:pPr>
            <w:r w:rsidRPr="00484DB0">
              <w:rPr>
                <w:b/>
                <w:highlight w:val="yellow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EFCF94" w14:textId="77777777" w:rsidR="00C465F9" w:rsidRPr="00C465F9" w:rsidRDefault="00C465F9" w:rsidP="00CB47B2">
            <w:pPr>
              <w:jc w:val="center"/>
              <w:rPr>
                <w:b/>
              </w:rPr>
            </w:pPr>
          </w:p>
          <w:p w14:paraId="6907780C" w14:textId="0BE1DAF1" w:rsidR="00C465F9" w:rsidRPr="00C465F9" w:rsidRDefault="00C465F9" w:rsidP="00CB47B2">
            <w:pPr>
              <w:jc w:val="center"/>
              <w:rPr>
                <w:b/>
              </w:rPr>
            </w:pPr>
            <w:r w:rsidRPr="00C465F9">
              <w:rPr>
                <w:b/>
              </w:rPr>
              <w:t>2,5</w:t>
            </w:r>
          </w:p>
          <w:p w14:paraId="5E955CD8" w14:textId="1392C440" w:rsidR="00C465F9" w:rsidRPr="00C465F9" w:rsidRDefault="00C465F9" w:rsidP="00CB47B2">
            <w:pPr>
              <w:jc w:val="center"/>
              <w:rPr>
                <w:b/>
              </w:rPr>
            </w:pPr>
            <w:r w:rsidRPr="00C465F9">
              <w:rPr>
                <w:b/>
                <w:noProof/>
              </w:rPr>
              <w:drawing>
                <wp:inline distT="0" distB="0" distL="0" distR="0" wp14:anchorId="7FB3D71E" wp14:editId="315097DB">
                  <wp:extent cx="6350" cy="63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17A74F" w14:textId="04899F5D" w:rsidR="00C465F9" w:rsidRPr="0001552F" w:rsidRDefault="00484DB0" w:rsidP="00CB47B2">
            <w:pPr>
              <w:jc w:val="center"/>
            </w:pPr>
            <w:r w:rsidRPr="00484DB0">
              <w:rPr>
                <w:highlight w:val="yellow"/>
              </w:rPr>
              <w:t>31 980</w:t>
            </w:r>
          </w:p>
        </w:tc>
      </w:tr>
      <w:tr w:rsidR="00C465F9" w:rsidRPr="0001552F" w14:paraId="4E137DCD" w14:textId="77777777" w:rsidTr="00CB47B2">
        <w:tblPrEx>
          <w:tblBorders>
            <w:top w:val="none" w:sz="0" w:space="0" w:color="auto"/>
          </w:tblBorders>
        </w:tblPrEx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43EAA4" w14:textId="77777777" w:rsidR="00C465F9" w:rsidRPr="0086392A" w:rsidRDefault="00C465F9" w:rsidP="00CB47B2">
            <w:pPr>
              <w:jc w:val="center"/>
              <w:rPr>
                <w:b/>
              </w:rPr>
            </w:pPr>
          </w:p>
          <w:p w14:paraId="5FE0F9CB" w14:textId="77777777" w:rsidR="00C465F9" w:rsidRPr="0086392A" w:rsidRDefault="00C465F9" w:rsidP="00CB47B2">
            <w:pPr>
              <w:jc w:val="center"/>
              <w:rPr>
                <w:b/>
              </w:rPr>
            </w:pPr>
            <w:r w:rsidRPr="00484DB0">
              <w:rPr>
                <w:b/>
                <w:highlight w:val="red"/>
              </w:rPr>
              <w:t>6</w:t>
            </w:r>
          </w:p>
          <w:p w14:paraId="6C3EE2F4" w14:textId="77777777" w:rsidR="00C465F9" w:rsidRPr="0086392A" w:rsidRDefault="00C465F9" w:rsidP="00CB47B2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958A66" w14:textId="1D0AC516" w:rsidR="00C465F9" w:rsidRPr="00C465F9" w:rsidRDefault="00C465F9" w:rsidP="00CB47B2">
            <w:pPr>
              <w:jc w:val="center"/>
              <w:rPr>
                <w:b/>
              </w:rPr>
            </w:pPr>
            <w:r w:rsidRPr="00C465F9">
              <w:rPr>
                <w:b/>
              </w:rPr>
              <w:t>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EB4A4A" w14:textId="4EE1864C" w:rsidR="00C465F9" w:rsidRPr="0001552F" w:rsidRDefault="00484DB0" w:rsidP="00CB47B2">
            <w:pPr>
              <w:jc w:val="center"/>
            </w:pPr>
            <w:r w:rsidRPr="00484DB0">
              <w:rPr>
                <w:highlight w:val="red"/>
              </w:rPr>
              <w:t>25 584</w:t>
            </w:r>
          </w:p>
        </w:tc>
      </w:tr>
    </w:tbl>
    <w:p w14:paraId="26DFF1E4" w14:textId="77777777" w:rsidR="00756EE7" w:rsidRPr="0001552F" w:rsidRDefault="00756EE7" w:rsidP="0001552F"/>
    <w:p w14:paraId="0EF632FB" w14:textId="77777777" w:rsidR="00484DB0" w:rsidRDefault="00484DB0" w:rsidP="0001552F"/>
    <w:p w14:paraId="126E4BD4" w14:textId="62F95A02" w:rsidR="00CB47B2" w:rsidRDefault="00484DB0" w:rsidP="00484DB0">
      <w:pPr>
        <w:jc w:val="both"/>
      </w:pPr>
      <w:r>
        <w:t>Корректировка (индексация) цен</w:t>
      </w:r>
      <w:r w:rsidR="00CF428A">
        <w:t>, а равно и актуализация данной Методики</w:t>
      </w:r>
      <w:r>
        <w:t xml:space="preserve"> происходит </w:t>
      </w:r>
      <w:r w:rsidR="00CF428A">
        <w:t xml:space="preserve">на заседании СП КНСБ </w:t>
      </w:r>
      <w:r>
        <w:t>ежегодно в соотве</w:t>
      </w:r>
      <w:r w:rsidR="00CF428A">
        <w:t>т</w:t>
      </w:r>
      <w:r>
        <w:t xml:space="preserve">ствии с </w:t>
      </w:r>
      <w:r w:rsidR="00CF428A">
        <w:t>очередной редакцией Федерального закона</w:t>
      </w:r>
      <w:r w:rsidRPr="00861BF5">
        <w:t xml:space="preserve"> от 19.06.2000 N 82-ФЗ  "О минимальном размере оплаты труда"</w:t>
      </w:r>
      <w:r w:rsidR="00CF428A">
        <w:t>.</w:t>
      </w:r>
      <w:r w:rsidRPr="00861BF5">
        <w:rPr>
          <w:b/>
        </w:rPr>
        <w:t xml:space="preserve"> </w:t>
      </w:r>
      <w:r>
        <w:t xml:space="preserve"> </w:t>
      </w:r>
    </w:p>
    <w:p w14:paraId="321B28E8" w14:textId="6CC9DDB8" w:rsidR="00CB47B2" w:rsidRDefault="00CB47B2" w:rsidP="00CB47B2">
      <w:pPr>
        <w:jc w:val="right"/>
      </w:pPr>
      <w:r>
        <w:t xml:space="preserve">Председатель СПК НСБ </w:t>
      </w:r>
    </w:p>
    <w:p w14:paraId="56FD2B4A" w14:textId="4CD7E8AB" w:rsidR="00CB47B2" w:rsidRDefault="00CB47B2" w:rsidP="00CB47B2">
      <w:pPr>
        <w:jc w:val="right"/>
      </w:pPr>
      <w:r>
        <w:t>Глухих В.К.</w:t>
      </w:r>
    </w:p>
    <w:p w14:paraId="2C5FC37B" w14:textId="70DB19C0" w:rsidR="00CB47B2" w:rsidRPr="0001552F" w:rsidRDefault="00CB47B2" w:rsidP="00CB47B2">
      <w:pPr>
        <w:jc w:val="right"/>
      </w:pPr>
      <w:r>
        <w:t>2021 год.</w:t>
      </w:r>
    </w:p>
    <w:sectPr w:rsidR="00CB47B2" w:rsidRPr="0001552F" w:rsidSect="00891F7D">
      <w:headerReference w:type="default" r:id="rId9"/>
      <w:footerReference w:type="even" r:id="rId10"/>
      <w:footerReference w:type="default" r:id="rId11"/>
      <w:pgSz w:w="12240" w:h="15840"/>
      <w:pgMar w:top="957" w:right="1041" w:bottom="1276" w:left="1800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43871" w14:textId="77777777" w:rsidR="00CB47B2" w:rsidRDefault="00CB47B2" w:rsidP="00484DB0">
      <w:r>
        <w:separator/>
      </w:r>
    </w:p>
  </w:endnote>
  <w:endnote w:type="continuationSeparator" w:id="0">
    <w:p w14:paraId="03B7DB9D" w14:textId="77777777" w:rsidR="00CB47B2" w:rsidRDefault="00CB47B2" w:rsidP="0048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B6863" w14:textId="77777777" w:rsidR="00CB47B2" w:rsidRDefault="00CB47B2" w:rsidP="00484D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E486FD" w14:textId="77777777" w:rsidR="00CB47B2" w:rsidRDefault="00CB47B2" w:rsidP="00484DB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05497" w14:textId="77777777" w:rsidR="00CB47B2" w:rsidRDefault="00CB47B2" w:rsidP="00484D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273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6D9B64" w14:textId="422F769E" w:rsidR="00CB47B2" w:rsidRDefault="00CB47B2" w:rsidP="00484DB0">
    <w:pPr>
      <w:pStyle w:val="Footer"/>
      <w:ind w:right="360"/>
      <w:jc w:val="center"/>
    </w:pPr>
    <w:r>
      <w:t>Методика обоснования цен на охранные  НОК для ЦОК СПК НСБ на 2021 год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F9FE5" w14:textId="77777777" w:rsidR="00CB47B2" w:rsidRDefault="00CB47B2" w:rsidP="00484DB0">
      <w:r>
        <w:separator/>
      </w:r>
    </w:p>
  </w:footnote>
  <w:footnote w:type="continuationSeparator" w:id="0">
    <w:p w14:paraId="3F874BDC" w14:textId="77777777" w:rsidR="00CB47B2" w:rsidRDefault="00CB47B2" w:rsidP="00484D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F0EB8" w14:textId="3FD518A8" w:rsidR="00CB47B2" w:rsidRDefault="00CB47B2" w:rsidP="00484DB0">
    <w:pPr>
      <w:pStyle w:val="Header"/>
      <w:jc w:val="center"/>
    </w:pPr>
    <w:r>
      <w:rPr>
        <w:noProof/>
      </w:rPr>
      <w:drawing>
        <wp:inline distT="0" distB="0" distL="0" distR="0" wp14:anchorId="36E615DD" wp14:editId="3A7CE07D">
          <wp:extent cx="479791" cy="545933"/>
          <wp:effectExtent l="0" t="0" r="3175" b="0"/>
          <wp:docPr id="1" name="Picture 1" descr="NAST:СТАНДАРТ:STAMP/IMAGES:SP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ST:СТАНДАРТ:STAMP/IMAGES:SPK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16" cy="545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C24FCE"/>
    <w:multiLevelType w:val="multilevel"/>
    <w:tmpl w:val="EF9A90F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4BE3B47"/>
    <w:multiLevelType w:val="hybridMultilevel"/>
    <w:tmpl w:val="A604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B1F47"/>
    <w:multiLevelType w:val="hybridMultilevel"/>
    <w:tmpl w:val="431C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102C7"/>
    <w:multiLevelType w:val="hybridMultilevel"/>
    <w:tmpl w:val="97B6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B7353"/>
    <w:multiLevelType w:val="multilevel"/>
    <w:tmpl w:val="CFB60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2F"/>
    <w:rsid w:val="000138F4"/>
    <w:rsid w:val="0001552F"/>
    <w:rsid w:val="0003128E"/>
    <w:rsid w:val="000C1317"/>
    <w:rsid w:val="001E5601"/>
    <w:rsid w:val="0038273B"/>
    <w:rsid w:val="003A0F45"/>
    <w:rsid w:val="00484DB0"/>
    <w:rsid w:val="00623C6E"/>
    <w:rsid w:val="00756EE7"/>
    <w:rsid w:val="0082789E"/>
    <w:rsid w:val="00855561"/>
    <w:rsid w:val="00861BF5"/>
    <w:rsid w:val="0086392A"/>
    <w:rsid w:val="00891F7D"/>
    <w:rsid w:val="00992E4A"/>
    <w:rsid w:val="009B47AE"/>
    <w:rsid w:val="009C3077"/>
    <w:rsid w:val="00A63FA3"/>
    <w:rsid w:val="00B401A0"/>
    <w:rsid w:val="00BC45B7"/>
    <w:rsid w:val="00C465F9"/>
    <w:rsid w:val="00C90BB6"/>
    <w:rsid w:val="00CB47B2"/>
    <w:rsid w:val="00CC1A90"/>
    <w:rsid w:val="00CF428A"/>
    <w:rsid w:val="00DB68D8"/>
    <w:rsid w:val="00EF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D5A7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556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5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2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55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556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855561"/>
  </w:style>
  <w:style w:type="paragraph" w:styleId="Header">
    <w:name w:val="header"/>
    <w:basedOn w:val="Normal"/>
    <w:link w:val="HeaderChar"/>
    <w:uiPriority w:val="99"/>
    <w:unhideWhenUsed/>
    <w:rsid w:val="00484D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DB0"/>
  </w:style>
  <w:style w:type="paragraph" w:styleId="Footer">
    <w:name w:val="footer"/>
    <w:basedOn w:val="Normal"/>
    <w:link w:val="FooterChar"/>
    <w:uiPriority w:val="99"/>
    <w:unhideWhenUsed/>
    <w:rsid w:val="00484D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DB0"/>
  </w:style>
  <w:style w:type="character" w:styleId="PageNumber">
    <w:name w:val="page number"/>
    <w:basedOn w:val="DefaultParagraphFont"/>
    <w:uiPriority w:val="99"/>
    <w:semiHidden/>
    <w:unhideWhenUsed/>
    <w:rsid w:val="00484D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556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5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2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55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556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855561"/>
  </w:style>
  <w:style w:type="paragraph" w:styleId="Header">
    <w:name w:val="header"/>
    <w:basedOn w:val="Normal"/>
    <w:link w:val="HeaderChar"/>
    <w:uiPriority w:val="99"/>
    <w:unhideWhenUsed/>
    <w:rsid w:val="00484D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DB0"/>
  </w:style>
  <w:style w:type="paragraph" w:styleId="Footer">
    <w:name w:val="footer"/>
    <w:basedOn w:val="Normal"/>
    <w:link w:val="FooterChar"/>
    <w:uiPriority w:val="99"/>
    <w:unhideWhenUsed/>
    <w:rsid w:val="00484D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DB0"/>
  </w:style>
  <w:style w:type="character" w:styleId="PageNumber">
    <w:name w:val="page number"/>
    <w:basedOn w:val="DefaultParagraphFont"/>
    <w:uiPriority w:val="99"/>
    <w:semiHidden/>
    <w:unhideWhenUsed/>
    <w:rsid w:val="00484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1094</Words>
  <Characters>6236</Characters>
  <Application>Microsoft Macintosh Word</Application>
  <DocSecurity>0</DocSecurity>
  <Lines>51</Lines>
  <Paragraphs>14</Paragraphs>
  <ScaleCrop>false</ScaleCrop>
  <Company>NAST</Company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Fonareff</dc:creator>
  <cp:keywords/>
  <dc:description/>
  <cp:lastModifiedBy>Dmitry Fonareff</cp:lastModifiedBy>
  <cp:revision>14</cp:revision>
  <dcterms:created xsi:type="dcterms:W3CDTF">2021-04-28T12:26:00Z</dcterms:created>
  <dcterms:modified xsi:type="dcterms:W3CDTF">2021-06-22T17:15:00Z</dcterms:modified>
</cp:coreProperties>
</file>