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57FCC" w14:textId="77777777" w:rsidR="009B47AE" w:rsidRDefault="00E7538B" w:rsidP="002E53C1">
      <w:pPr>
        <w:jc w:val="center"/>
      </w:pPr>
      <w:r>
        <w:rPr>
          <w:noProof/>
        </w:rPr>
        <w:drawing>
          <wp:inline distT="0" distB="0" distL="0" distR="0" wp14:anchorId="5054249A" wp14:editId="470D0FCC">
            <wp:extent cx="5200650" cy="1320800"/>
            <wp:effectExtent l="0" t="0" r="6350" b="0"/>
            <wp:docPr id="1" name="Picture 1" descr="NAST:СТАНДАРТЫ:СПК НСБ # 032:LOGO/STAMP/IMAGES:1 СПК НСБ бланк КР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T:СТАНДАРТЫ:СПК НСБ # 032:LOGO/STAMP/IMAGES:1 СПК НСБ бланк КРЖ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EAC8" w14:textId="77777777" w:rsidR="00E7538B" w:rsidRDefault="00E7538B"/>
    <w:p w14:paraId="09891EA4" w14:textId="77777777" w:rsidR="0003720B" w:rsidRDefault="002E53C1" w:rsidP="00AB2610">
      <w:pPr>
        <w:rPr>
          <w:lang w:val="ru-RU"/>
        </w:rPr>
      </w:pPr>
      <w:r>
        <w:rPr>
          <w:lang w:val="ru-RU"/>
        </w:rPr>
        <w:t xml:space="preserve">исх. № </w:t>
      </w:r>
      <w:r w:rsidR="0003720B">
        <w:rPr>
          <w:lang w:val="ru-RU"/>
        </w:rPr>
        <w:t>02/02 -</w:t>
      </w:r>
      <w:r>
        <w:rPr>
          <w:lang w:val="ru-RU"/>
        </w:rPr>
        <w:t xml:space="preserve"> 1</w:t>
      </w:r>
      <w:r w:rsidR="0003720B">
        <w:rPr>
          <w:lang w:val="ru-RU"/>
        </w:rPr>
        <w:t>6</w:t>
      </w:r>
      <w:r w:rsidR="00BB2342">
        <w:rPr>
          <w:lang w:val="ru-RU"/>
        </w:rPr>
        <w:t>.02.</w:t>
      </w:r>
      <w:r>
        <w:rPr>
          <w:lang w:val="ru-RU"/>
        </w:rPr>
        <w:t xml:space="preserve">2023 г.  </w:t>
      </w:r>
    </w:p>
    <w:p w14:paraId="111A0AE7" w14:textId="12A6456E" w:rsidR="00AB2610" w:rsidRDefault="0003720B" w:rsidP="0003720B">
      <w:pPr>
        <w:rPr>
          <w:lang w:val="ru-RU"/>
        </w:rPr>
      </w:pPr>
      <w:r>
        <w:rPr>
          <w:lang w:val="ru-RU"/>
        </w:rPr>
        <w:t>экз. 1</w:t>
      </w:r>
      <w:r w:rsidR="002E53C1">
        <w:rPr>
          <w:lang w:val="ru-RU"/>
        </w:rPr>
        <w:t xml:space="preserve">   </w:t>
      </w:r>
      <w:r w:rsidR="00B70702">
        <w:rPr>
          <w:lang w:val="ru-RU"/>
        </w:rPr>
        <w:t xml:space="preserve">                               </w:t>
      </w:r>
      <w:r w:rsidR="002E53C1">
        <w:rPr>
          <w:lang w:val="ru-RU"/>
        </w:rPr>
        <w:t xml:space="preserve">                            </w:t>
      </w:r>
    </w:p>
    <w:p w14:paraId="5687EBE5" w14:textId="45455D53" w:rsidR="00AB2610" w:rsidRPr="0003720B" w:rsidRDefault="00AB2610" w:rsidP="00AB2610">
      <w:pPr>
        <w:jc w:val="right"/>
        <w:rPr>
          <w:b/>
          <w:lang w:val="ru-RU"/>
        </w:rPr>
      </w:pPr>
      <w:r w:rsidRPr="0003720B">
        <w:rPr>
          <w:b/>
          <w:lang w:val="ru-RU"/>
        </w:rPr>
        <w:t xml:space="preserve">Председателям Советов </w:t>
      </w:r>
    </w:p>
    <w:p w14:paraId="2DF6DB70" w14:textId="77777777" w:rsidR="0003720B" w:rsidRDefault="00AB2610" w:rsidP="00AB2610">
      <w:pPr>
        <w:jc w:val="right"/>
        <w:rPr>
          <w:b/>
          <w:lang w:val="ru-RU"/>
        </w:rPr>
      </w:pPr>
      <w:r w:rsidRPr="0003720B">
        <w:rPr>
          <w:b/>
          <w:lang w:val="ru-RU"/>
        </w:rPr>
        <w:t xml:space="preserve">по профессиональным </w:t>
      </w:r>
    </w:p>
    <w:p w14:paraId="0A7FC5AA" w14:textId="724D1833" w:rsidR="00E7538B" w:rsidRPr="0003720B" w:rsidRDefault="00AB2610" w:rsidP="00AB2610">
      <w:pPr>
        <w:jc w:val="right"/>
        <w:rPr>
          <w:b/>
          <w:lang w:val="ru-RU"/>
        </w:rPr>
      </w:pPr>
      <w:r w:rsidRPr="0003720B">
        <w:rPr>
          <w:b/>
          <w:lang w:val="ru-RU"/>
        </w:rPr>
        <w:t>квалификациям НСПК</w:t>
      </w:r>
    </w:p>
    <w:p w14:paraId="745691EE" w14:textId="77777777" w:rsidR="00E7538B" w:rsidRDefault="00E7538B">
      <w:pPr>
        <w:rPr>
          <w:lang w:val="ru-RU"/>
        </w:rPr>
      </w:pPr>
    </w:p>
    <w:p w14:paraId="38295052" w14:textId="77777777" w:rsidR="00E7538B" w:rsidRDefault="00E7538B">
      <w:pPr>
        <w:rPr>
          <w:lang w:val="ru-RU"/>
        </w:rPr>
      </w:pPr>
    </w:p>
    <w:p w14:paraId="23FB332E" w14:textId="1B81AA84" w:rsidR="00E7538B" w:rsidRPr="00980505" w:rsidRDefault="00E7538B" w:rsidP="00062F20">
      <w:pPr>
        <w:jc w:val="center"/>
        <w:rPr>
          <w:i/>
          <w:lang w:val="ru-RU"/>
        </w:rPr>
      </w:pPr>
      <w:r w:rsidRPr="00980505">
        <w:rPr>
          <w:i/>
          <w:lang w:val="ru-RU"/>
        </w:rPr>
        <w:t>Уважаемые коллеги,</w:t>
      </w:r>
    </w:p>
    <w:p w14:paraId="76E739EF" w14:textId="77777777" w:rsidR="00E7538B" w:rsidRDefault="00E7538B">
      <w:pPr>
        <w:rPr>
          <w:lang w:val="ru-RU"/>
        </w:rPr>
      </w:pPr>
    </w:p>
    <w:p w14:paraId="09DA6422" w14:textId="77777777" w:rsidR="00843F04" w:rsidRDefault="00843F04" w:rsidP="00E7538B">
      <w:pPr>
        <w:jc w:val="both"/>
        <w:rPr>
          <w:lang w:val="ru-RU"/>
        </w:rPr>
      </w:pPr>
    </w:p>
    <w:p w14:paraId="1FBB64E1" w14:textId="68B27755" w:rsidR="00B40C38" w:rsidRPr="00BB2342" w:rsidRDefault="00B40C38" w:rsidP="00BB2342">
      <w:pPr>
        <w:jc w:val="both"/>
        <w:rPr>
          <w:lang w:val="ru-RU"/>
        </w:rPr>
      </w:pPr>
      <w:r>
        <w:rPr>
          <w:lang w:val="ru-RU"/>
        </w:rPr>
        <w:t xml:space="preserve">          в соответствии с п.п. «б» ст. 8 </w:t>
      </w:r>
      <w:r w:rsidR="00EF0342">
        <w:rPr>
          <w:lang w:val="ru-RU"/>
        </w:rPr>
        <w:t>ч.</w:t>
      </w:r>
      <w:r>
        <w:rPr>
          <w:lang w:val="ru-RU"/>
        </w:rPr>
        <w:t xml:space="preserve"> </w:t>
      </w:r>
      <w:r>
        <w:t>III</w:t>
      </w:r>
      <w:r>
        <w:rPr>
          <w:lang w:val="ru-RU"/>
        </w:rPr>
        <w:t xml:space="preserve">  Приказа Минтруда России №410</w:t>
      </w:r>
      <w:r w:rsidR="00761EBD">
        <w:rPr>
          <w:lang w:val="ru-RU"/>
        </w:rPr>
        <w:t xml:space="preserve"> </w:t>
      </w:r>
      <w:r>
        <w:rPr>
          <w:lang w:val="ru-RU"/>
        </w:rPr>
        <w:t xml:space="preserve">н </w:t>
      </w:r>
      <w:r w:rsidR="006C67CC">
        <w:rPr>
          <w:lang w:val="ru-RU"/>
        </w:rPr>
        <w:t xml:space="preserve">от 22.07. 2022 года </w:t>
      </w:r>
      <w:r>
        <w:rPr>
          <w:lang w:val="ru-RU"/>
        </w:rPr>
        <w:t>«Об утверждении Положения о разработке наименований квалификаций и требований к квалификациям, на  соответствие которым проводится независимая оценка квалификаций»</w:t>
      </w:r>
      <w:r w:rsidR="00761EBD">
        <w:rPr>
          <w:lang w:val="ru-RU"/>
        </w:rPr>
        <w:t>,</w:t>
      </w:r>
      <w:r>
        <w:rPr>
          <w:lang w:val="ru-RU"/>
        </w:rPr>
        <w:t xml:space="preserve"> направляем в Ваш адрес системный список охранных квалификаций, разработанных СПК НСБ для </w:t>
      </w:r>
      <w:r w:rsidR="00BB2342">
        <w:rPr>
          <w:lang w:val="ru-RU"/>
        </w:rPr>
        <w:t>согласования</w:t>
      </w:r>
      <w:r>
        <w:rPr>
          <w:lang w:val="ru-RU"/>
        </w:rPr>
        <w:t xml:space="preserve"> и </w:t>
      </w:r>
      <w:r w:rsidR="00BB2342">
        <w:rPr>
          <w:lang w:val="ru-RU"/>
        </w:rPr>
        <w:t xml:space="preserve">организации </w:t>
      </w:r>
      <w:r>
        <w:rPr>
          <w:lang w:val="ru-RU"/>
        </w:rPr>
        <w:t xml:space="preserve">взаимодействия по </w:t>
      </w:r>
      <w:r w:rsidR="00BB2342">
        <w:rPr>
          <w:lang w:val="ru-RU"/>
        </w:rPr>
        <w:t xml:space="preserve">их практической </w:t>
      </w:r>
      <w:r>
        <w:rPr>
          <w:lang w:val="ru-RU"/>
        </w:rPr>
        <w:t>реализации.</w:t>
      </w:r>
    </w:p>
    <w:p w14:paraId="2C08F4C4" w14:textId="2198E26E" w:rsidR="006C67CC" w:rsidRDefault="00BB2342" w:rsidP="00B40C3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 w:rsidR="00B40C38" w:rsidRPr="00B40C38">
        <w:rPr>
          <w:rFonts w:eastAsia="Times New Roman" w:cs="Times New Roman"/>
          <w:color w:val="000000"/>
        </w:rPr>
        <w:t xml:space="preserve">Данные квалификации </w:t>
      </w:r>
      <w:r w:rsidR="006C67CC">
        <w:rPr>
          <w:rFonts w:eastAsia="Times New Roman" w:cs="Times New Roman"/>
          <w:color w:val="000000"/>
        </w:rPr>
        <w:t xml:space="preserve">без замечаний </w:t>
      </w:r>
      <w:r w:rsidR="00B40C38" w:rsidRPr="00B40C38">
        <w:rPr>
          <w:rFonts w:eastAsia="Times New Roman" w:cs="Times New Roman"/>
          <w:color w:val="000000"/>
        </w:rPr>
        <w:t xml:space="preserve">прошли согласование с объединениями работодателей </w:t>
      </w:r>
      <w:r w:rsidR="00A04FFA">
        <w:rPr>
          <w:rFonts w:eastAsia="Times New Roman" w:cs="Times New Roman"/>
          <w:color w:val="000000"/>
        </w:rPr>
        <w:t xml:space="preserve">в период </w:t>
      </w:r>
      <w:r w:rsidR="00DF2572">
        <w:rPr>
          <w:rFonts w:eastAsia="Times New Roman" w:cs="Times New Roman"/>
          <w:color w:val="000000"/>
        </w:rPr>
        <w:t>с 11 сентября по 30</w:t>
      </w:r>
      <w:r w:rsidR="006C67CC">
        <w:rPr>
          <w:rFonts w:eastAsia="Times New Roman" w:cs="Times New Roman"/>
          <w:color w:val="000000"/>
        </w:rPr>
        <w:t xml:space="preserve"> декабря 2020 года :</w:t>
      </w:r>
    </w:p>
    <w:p w14:paraId="6EA2C450" w14:textId="76611344" w:rsidR="006C67CC" w:rsidRDefault="006C67CC" w:rsidP="00B40C3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ПС “Охранник” - </w:t>
      </w:r>
      <w:hyperlink r:id="rId9" w:history="1">
        <w:r w:rsidRPr="00824E23">
          <w:rPr>
            <w:rStyle w:val="Hyperlink"/>
            <w:rFonts w:eastAsia="Times New Roman" w:cs="Times New Roman"/>
          </w:rPr>
          <w:t>https://www.spk-nsb.ru/standard/ps-ohrannik/</w:t>
        </w:r>
      </w:hyperlink>
    </w:p>
    <w:p w14:paraId="27113DF8" w14:textId="0CE1201F" w:rsidR="006C67CC" w:rsidRDefault="006C67CC" w:rsidP="00B40C3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ПС “Инкассатор” - </w:t>
      </w:r>
      <w:hyperlink r:id="rId10" w:history="1">
        <w:r w:rsidRPr="00824E23">
          <w:rPr>
            <w:rStyle w:val="Hyperlink"/>
            <w:rFonts w:eastAsia="Times New Roman" w:cs="Times New Roman"/>
          </w:rPr>
          <w:t>https://www.spk-nsb.ru/standard/ps-inkassator/</w:t>
        </w:r>
      </w:hyperlink>
    </w:p>
    <w:p w14:paraId="1DB9EC6D" w14:textId="7FB9AEAF" w:rsidR="006C67CC" w:rsidRDefault="006C67CC" w:rsidP="00B40C3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ПС “Телохранитель” - </w:t>
      </w:r>
      <w:hyperlink r:id="rId11" w:history="1">
        <w:r w:rsidRPr="00824E23">
          <w:rPr>
            <w:rStyle w:val="Hyperlink"/>
            <w:rFonts w:eastAsia="Times New Roman" w:cs="Times New Roman"/>
          </w:rPr>
          <w:t>https://www.spk-nsb.ru/standard/ps-telohranitel/</w:t>
        </w:r>
      </w:hyperlink>
    </w:p>
    <w:p w14:paraId="46024E83" w14:textId="77777777" w:rsidR="006C67CC" w:rsidRDefault="006C67CC" w:rsidP="00B40C38">
      <w:pPr>
        <w:rPr>
          <w:rFonts w:eastAsia="Times New Roman" w:cs="Times New Roman"/>
          <w:color w:val="000000"/>
        </w:rPr>
      </w:pPr>
    </w:p>
    <w:p w14:paraId="0BAED370" w14:textId="013354AE" w:rsidR="007400EC" w:rsidRDefault="00761EBD" w:rsidP="00EF0342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</w:t>
      </w:r>
      <w:r w:rsidR="00DF2572">
        <w:rPr>
          <w:rFonts w:eastAsia="Times New Roman" w:cs="Times New Roman"/>
          <w:color w:val="000000"/>
        </w:rPr>
        <w:t xml:space="preserve">С учетом </w:t>
      </w:r>
      <w:r w:rsidR="00A04FFA">
        <w:rPr>
          <w:rFonts w:eastAsia="Times New Roman" w:cs="Times New Roman"/>
          <w:color w:val="000000"/>
        </w:rPr>
        <w:t xml:space="preserve">п. 5 </w:t>
      </w:r>
      <w:r w:rsidR="00EF0342">
        <w:rPr>
          <w:rFonts w:eastAsia="Times New Roman" w:cs="Times New Roman"/>
          <w:color w:val="000000"/>
        </w:rPr>
        <w:t xml:space="preserve">ч. II вышеуказанного Приказа, квалификации могут разрабатываться одновременно с актуализацией ПС. </w:t>
      </w:r>
      <w:r w:rsidR="006C67CC">
        <w:rPr>
          <w:rFonts w:eastAsia="Times New Roman" w:cs="Times New Roman"/>
          <w:color w:val="000000"/>
        </w:rPr>
        <w:t>В связи с проведением СВО</w:t>
      </w:r>
      <w:r w:rsidR="00BC2F7C">
        <w:rPr>
          <w:rFonts w:eastAsia="Times New Roman" w:cs="Times New Roman"/>
          <w:color w:val="000000"/>
          <w:lang w:val="ru-RU"/>
        </w:rPr>
        <w:t>,</w:t>
      </w:r>
      <w:r w:rsidR="006C67CC">
        <w:rPr>
          <w:rFonts w:eastAsia="Times New Roman" w:cs="Times New Roman"/>
          <w:color w:val="000000"/>
        </w:rPr>
        <w:t xml:space="preserve"> проекты ПС “Охранник” и “Инкассатор” были доработаны и в б</w:t>
      </w:r>
      <w:r w:rsidR="00B34671">
        <w:rPr>
          <w:rFonts w:eastAsia="Times New Roman" w:cs="Times New Roman"/>
          <w:color w:val="000000"/>
        </w:rPr>
        <w:t>л</w:t>
      </w:r>
      <w:r w:rsidR="006C67CC">
        <w:rPr>
          <w:rFonts w:eastAsia="Times New Roman" w:cs="Times New Roman"/>
          <w:color w:val="000000"/>
        </w:rPr>
        <w:t xml:space="preserve">ижайшее время их повторные редакции будут направлены в Минтруда России для </w:t>
      </w:r>
      <w:r w:rsidR="00B34671">
        <w:rPr>
          <w:rFonts w:eastAsia="Times New Roman" w:cs="Times New Roman"/>
          <w:color w:val="000000"/>
        </w:rPr>
        <w:t>согласования</w:t>
      </w:r>
      <w:r w:rsidR="006C67CC">
        <w:rPr>
          <w:rFonts w:eastAsia="Times New Roman" w:cs="Times New Roman"/>
          <w:color w:val="000000"/>
        </w:rPr>
        <w:t xml:space="preserve">. </w:t>
      </w:r>
    </w:p>
    <w:p w14:paraId="0F5A4EDC" w14:textId="18EC29D7" w:rsidR="00B34671" w:rsidRPr="00EF0342" w:rsidRDefault="00B34671" w:rsidP="00EF0342">
      <w:pPr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</w:rPr>
        <w:t xml:space="preserve">    В связи с вступлением в си</w:t>
      </w:r>
      <w:r w:rsidR="007400EC">
        <w:rPr>
          <w:rFonts w:eastAsia="Times New Roman" w:cs="Times New Roman"/>
          <w:color w:val="000000"/>
        </w:rPr>
        <w:t>лу режима НПД для самозанятых и</w:t>
      </w:r>
      <w:r>
        <w:rPr>
          <w:rFonts w:eastAsia="Times New Roman" w:cs="Times New Roman"/>
          <w:color w:val="000000"/>
        </w:rPr>
        <w:t xml:space="preserve"> началом проведения СВО, СПК НСБ </w:t>
      </w:r>
      <w:r w:rsidR="007400EC">
        <w:rPr>
          <w:rFonts w:eastAsia="Times New Roman" w:cs="Times New Roman"/>
          <w:color w:val="000000"/>
        </w:rPr>
        <w:t xml:space="preserve">на основе мониторинга охранных работ и услуг  </w:t>
      </w:r>
      <w:r>
        <w:rPr>
          <w:rFonts w:eastAsia="Times New Roman" w:cs="Times New Roman"/>
          <w:color w:val="000000"/>
        </w:rPr>
        <w:t xml:space="preserve">выделил квалификацию </w:t>
      </w:r>
      <w:r w:rsidRPr="00761EBD">
        <w:rPr>
          <w:rFonts w:eastAsia="Times New Roman" w:cs="Times New Roman"/>
          <w:b/>
          <w:i/>
          <w:color w:val="000000"/>
        </w:rPr>
        <w:t>“Работник по обеспечению безопасности”</w:t>
      </w:r>
      <w:r>
        <w:rPr>
          <w:rFonts w:eastAsia="Times New Roman" w:cs="Times New Roman"/>
          <w:color w:val="000000"/>
        </w:rPr>
        <w:t xml:space="preserve"> </w:t>
      </w:r>
      <w:r w:rsidR="00D33071">
        <w:rPr>
          <w:rFonts w:eastAsia="Times New Roman" w:cs="Times New Roman"/>
          <w:color w:val="000000"/>
        </w:rPr>
        <w:t xml:space="preserve"> квалификационный уровень 2</w:t>
      </w:r>
      <w:r w:rsidR="00761EBD">
        <w:rPr>
          <w:rFonts w:eastAsia="Times New Roman" w:cs="Times New Roman"/>
          <w:color w:val="000000"/>
        </w:rPr>
        <w:t xml:space="preserve"> (см. приложение 1),</w:t>
      </w:r>
      <w:r w:rsidR="00D3307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которая </w:t>
      </w:r>
      <w:r w:rsidR="00A11044">
        <w:rPr>
          <w:rFonts w:eastAsia="Times New Roman" w:cs="Times New Roman"/>
          <w:color w:val="000000"/>
        </w:rPr>
        <w:t xml:space="preserve">уже </w:t>
      </w:r>
      <w:r>
        <w:rPr>
          <w:rFonts w:eastAsia="Times New Roman" w:cs="Times New Roman"/>
          <w:color w:val="000000"/>
        </w:rPr>
        <w:t xml:space="preserve">находится в НАРК </w:t>
      </w:r>
      <w:r w:rsidR="007400EC">
        <w:rPr>
          <w:rFonts w:eastAsia="Times New Roman" w:cs="Times New Roman"/>
          <w:color w:val="000000"/>
        </w:rPr>
        <w:t>на согласовании</w:t>
      </w:r>
      <w:r>
        <w:rPr>
          <w:rFonts w:eastAsia="Times New Roman" w:cs="Times New Roman"/>
          <w:color w:val="000000"/>
        </w:rPr>
        <w:t xml:space="preserve"> для ее утверждения НСПК. </w:t>
      </w:r>
    </w:p>
    <w:p w14:paraId="47BB7C21" w14:textId="6488D6FC" w:rsidR="00D33071" w:rsidRDefault="006B6F28" w:rsidP="00B3467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 w:rsidR="00B34671">
        <w:rPr>
          <w:rFonts w:eastAsia="Times New Roman" w:cs="Times New Roman"/>
          <w:color w:val="000000"/>
        </w:rPr>
        <w:t xml:space="preserve">Данная квалификация </w:t>
      </w:r>
      <w:r w:rsidR="00FD68E2">
        <w:rPr>
          <w:rFonts w:eastAsia="Times New Roman" w:cs="Times New Roman"/>
          <w:color w:val="000000"/>
        </w:rPr>
        <w:t>не т</w:t>
      </w:r>
      <w:r w:rsidR="00761EBD">
        <w:rPr>
          <w:rFonts w:eastAsia="Times New Roman" w:cs="Times New Roman"/>
          <w:color w:val="000000"/>
        </w:rPr>
        <w:t>р</w:t>
      </w:r>
      <w:r w:rsidR="00FD68E2">
        <w:rPr>
          <w:rFonts w:eastAsia="Times New Roman" w:cs="Times New Roman"/>
          <w:color w:val="000000"/>
        </w:rPr>
        <w:t xml:space="preserve">ебует </w:t>
      </w:r>
      <w:r w:rsidR="00761EBD">
        <w:rPr>
          <w:rFonts w:eastAsia="Times New Roman" w:cs="Times New Roman"/>
          <w:color w:val="000000"/>
        </w:rPr>
        <w:t xml:space="preserve">от работника или работодателя </w:t>
      </w:r>
      <w:r w:rsidR="00FD68E2">
        <w:rPr>
          <w:rFonts w:eastAsia="Times New Roman" w:cs="Times New Roman"/>
          <w:color w:val="000000"/>
        </w:rPr>
        <w:t>лицензирования</w:t>
      </w:r>
      <w:r w:rsidR="00761EBD">
        <w:rPr>
          <w:rFonts w:eastAsia="Times New Roman" w:cs="Times New Roman"/>
          <w:color w:val="000000"/>
        </w:rPr>
        <w:t>,</w:t>
      </w:r>
      <w:r w:rsidR="00FD68E2">
        <w:rPr>
          <w:rFonts w:eastAsia="Times New Roman" w:cs="Times New Roman"/>
          <w:color w:val="000000"/>
        </w:rPr>
        <w:t xml:space="preserve"> и </w:t>
      </w:r>
      <w:r w:rsidR="00B34671">
        <w:rPr>
          <w:rFonts w:eastAsia="Times New Roman" w:cs="Times New Roman"/>
          <w:color w:val="000000"/>
        </w:rPr>
        <w:t>является унифицированной (сквозной) для соискателей, чьи профильные (охранные или обеспечение безопасности) трудовые функции на рабочем месте</w:t>
      </w:r>
      <w:r>
        <w:rPr>
          <w:rFonts w:eastAsia="Times New Roman" w:cs="Times New Roman"/>
          <w:color w:val="000000"/>
        </w:rPr>
        <w:t xml:space="preserve"> (</w:t>
      </w:r>
      <w:r w:rsidR="00761EBD">
        <w:rPr>
          <w:rFonts w:eastAsia="Times New Roman" w:cs="Times New Roman"/>
          <w:color w:val="000000"/>
        </w:rPr>
        <w:t xml:space="preserve">пост </w:t>
      </w:r>
      <w:r>
        <w:rPr>
          <w:rFonts w:eastAsia="Times New Roman" w:cs="Times New Roman"/>
          <w:color w:val="000000"/>
        </w:rPr>
        <w:t>допуск</w:t>
      </w:r>
      <w:r w:rsidR="00761EBD">
        <w:rPr>
          <w:rFonts w:eastAsia="Times New Roman" w:cs="Times New Roman"/>
          <w:color w:val="000000"/>
        </w:rPr>
        <w:t>а и наблюдения</w:t>
      </w:r>
      <w:r>
        <w:rPr>
          <w:rFonts w:eastAsia="Times New Roman" w:cs="Times New Roman"/>
          <w:color w:val="000000"/>
        </w:rPr>
        <w:t>)</w:t>
      </w:r>
      <w:r w:rsidR="00B34671">
        <w:rPr>
          <w:rFonts w:eastAsia="Times New Roman" w:cs="Times New Roman"/>
          <w:color w:val="000000"/>
        </w:rPr>
        <w:t xml:space="preserve"> не связаны с применением оружия,</w:t>
      </w:r>
      <w:r w:rsidR="00FD68E2">
        <w:rPr>
          <w:rFonts w:eastAsia="Times New Roman" w:cs="Times New Roman"/>
          <w:color w:val="000000"/>
        </w:rPr>
        <w:t xml:space="preserve"> </w:t>
      </w:r>
      <w:r w:rsidR="00B34671">
        <w:rPr>
          <w:rFonts w:eastAsia="Times New Roman" w:cs="Times New Roman"/>
          <w:color w:val="000000"/>
        </w:rPr>
        <w:t>спецсредств и защитных приемов физической силы.</w:t>
      </w:r>
      <w:r w:rsidR="007400EC">
        <w:rPr>
          <w:rFonts w:eastAsia="Times New Roman" w:cs="Times New Roman"/>
          <w:color w:val="000000"/>
        </w:rPr>
        <w:t xml:space="preserve"> К таким рабочим местам относятся любые объекты, требующие </w:t>
      </w:r>
      <w:r w:rsidR="00761EBD">
        <w:rPr>
          <w:rFonts w:eastAsia="Times New Roman" w:cs="Times New Roman"/>
          <w:color w:val="000000"/>
        </w:rPr>
        <w:t>наличия</w:t>
      </w:r>
      <w:r w:rsidR="007400EC">
        <w:rPr>
          <w:rFonts w:eastAsia="Times New Roman" w:cs="Times New Roman"/>
          <w:color w:val="000000"/>
        </w:rPr>
        <w:t xml:space="preserve"> режима допуска – </w:t>
      </w:r>
      <w:r w:rsidR="00A83173">
        <w:rPr>
          <w:rFonts w:eastAsia="Times New Roman" w:cs="Times New Roman"/>
          <w:color w:val="000000"/>
        </w:rPr>
        <w:t>участки территорий (акваторий</w:t>
      </w:r>
      <w:r w:rsidR="00D33071">
        <w:rPr>
          <w:rFonts w:eastAsia="Times New Roman" w:cs="Times New Roman"/>
          <w:color w:val="000000"/>
        </w:rPr>
        <w:t>),</w:t>
      </w:r>
      <w:r w:rsidR="00A83173">
        <w:rPr>
          <w:rFonts w:eastAsia="Times New Roman" w:cs="Times New Roman"/>
          <w:color w:val="000000"/>
        </w:rPr>
        <w:t xml:space="preserve"> зданий и сооружений,</w:t>
      </w:r>
      <w:r w:rsidR="00D33071">
        <w:rPr>
          <w:rFonts w:eastAsia="Times New Roman" w:cs="Times New Roman"/>
          <w:color w:val="000000"/>
        </w:rPr>
        <w:t xml:space="preserve"> </w:t>
      </w:r>
      <w:r w:rsidR="007400EC">
        <w:rPr>
          <w:rFonts w:eastAsia="Times New Roman" w:cs="Times New Roman"/>
          <w:color w:val="000000"/>
        </w:rPr>
        <w:t xml:space="preserve">банки, школы, больницы, </w:t>
      </w:r>
      <w:r w:rsidR="00A83173">
        <w:rPr>
          <w:rFonts w:eastAsia="Times New Roman" w:cs="Times New Roman"/>
          <w:color w:val="000000"/>
        </w:rPr>
        <w:t xml:space="preserve">административные учреждения, </w:t>
      </w:r>
      <w:r w:rsidR="00D33071">
        <w:rPr>
          <w:rFonts w:eastAsia="Times New Roman" w:cs="Times New Roman"/>
          <w:color w:val="000000"/>
        </w:rPr>
        <w:t xml:space="preserve">транспортная инфрастуктура (авиационные узлы, </w:t>
      </w:r>
      <w:r w:rsidR="0015108A">
        <w:rPr>
          <w:rFonts w:eastAsia="Times New Roman" w:cs="Times New Roman"/>
          <w:color w:val="000000"/>
        </w:rPr>
        <w:t xml:space="preserve">городской транспорт и </w:t>
      </w:r>
      <w:r w:rsidR="00D33071">
        <w:rPr>
          <w:rFonts w:eastAsia="Times New Roman" w:cs="Times New Roman"/>
          <w:color w:val="000000"/>
        </w:rPr>
        <w:t xml:space="preserve">метро, железнодорожные, речные и морские вокзалы, места массового посещения, спортивные и развлекательные </w:t>
      </w:r>
      <w:r w:rsidR="00D33071">
        <w:rPr>
          <w:rFonts w:eastAsia="Times New Roman" w:cs="Times New Roman"/>
          <w:color w:val="000000"/>
        </w:rPr>
        <w:lastRenderedPageBreak/>
        <w:t xml:space="preserve">учреждения, госудаственные и частные домовладения и их агломерации, </w:t>
      </w:r>
      <w:r w:rsidR="00437145">
        <w:rPr>
          <w:rFonts w:eastAsia="Times New Roman" w:cs="Times New Roman"/>
          <w:color w:val="000000"/>
        </w:rPr>
        <w:t xml:space="preserve">грузы при их транспортировке, </w:t>
      </w:r>
      <w:r w:rsidR="00D33071">
        <w:rPr>
          <w:rFonts w:eastAsia="Times New Roman" w:cs="Times New Roman"/>
          <w:color w:val="000000"/>
        </w:rPr>
        <w:t>а также и иные объекты, не требующие  вооруженной охраны в том числе</w:t>
      </w:r>
      <w:r w:rsidR="00761EBD">
        <w:rPr>
          <w:rFonts w:eastAsia="Times New Roman" w:cs="Times New Roman"/>
          <w:color w:val="000000"/>
        </w:rPr>
        <w:t>,</w:t>
      </w:r>
      <w:r w:rsidR="00D33071">
        <w:rPr>
          <w:rFonts w:eastAsia="Times New Roman" w:cs="Times New Roman"/>
          <w:color w:val="000000"/>
        </w:rPr>
        <w:t xml:space="preserve"> имеющие статус объектов антитеррористической защищенности.</w:t>
      </w:r>
    </w:p>
    <w:p w14:paraId="58FE2460" w14:textId="77777777" w:rsidR="00A83173" w:rsidRPr="00437145" w:rsidRDefault="00A83173" w:rsidP="00B34671">
      <w:pPr>
        <w:jc w:val="both"/>
        <w:rPr>
          <w:rFonts w:eastAsia="Times New Roman" w:cs="Times New Roman"/>
          <w:color w:val="000000"/>
          <w:lang w:val="ru-RU"/>
        </w:rPr>
      </w:pPr>
    </w:p>
    <w:p w14:paraId="4F1B1185" w14:textId="1ACC9EDA" w:rsidR="00D33071" w:rsidRDefault="00F80816" w:rsidP="00B3467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</w:t>
      </w:r>
      <w:r w:rsidR="00D33071">
        <w:rPr>
          <w:rFonts w:eastAsia="Times New Roman" w:cs="Times New Roman"/>
          <w:color w:val="000000"/>
        </w:rPr>
        <w:t xml:space="preserve"> Трудовые функции (протокол дейс</w:t>
      </w:r>
      <w:r w:rsidR="00A83173">
        <w:rPr>
          <w:rFonts w:eastAsia="Times New Roman" w:cs="Times New Roman"/>
          <w:color w:val="000000"/>
        </w:rPr>
        <w:t xml:space="preserve">твий), </w:t>
      </w:r>
      <w:r w:rsidR="00D33071">
        <w:rPr>
          <w:rFonts w:eastAsia="Times New Roman" w:cs="Times New Roman"/>
          <w:color w:val="000000"/>
        </w:rPr>
        <w:t>требуемые при заключении т</w:t>
      </w:r>
      <w:r w:rsidR="00A83173">
        <w:rPr>
          <w:rFonts w:eastAsia="Times New Roman" w:cs="Times New Roman"/>
          <w:color w:val="000000"/>
        </w:rPr>
        <w:t>р</w:t>
      </w:r>
      <w:r w:rsidR="00D33071">
        <w:rPr>
          <w:rFonts w:eastAsia="Times New Roman" w:cs="Times New Roman"/>
          <w:color w:val="000000"/>
        </w:rPr>
        <w:t>удовых договоров ст. 57 ТК РФ,</w:t>
      </w:r>
      <w:r w:rsidR="000061D2">
        <w:rPr>
          <w:rFonts w:eastAsia="Times New Roman" w:cs="Times New Roman"/>
          <w:color w:val="000000"/>
        </w:rPr>
        <w:t xml:space="preserve"> </w:t>
      </w:r>
      <w:r w:rsidR="00A83173">
        <w:rPr>
          <w:rFonts w:eastAsia="Times New Roman" w:cs="Times New Roman"/>
          <w:color w:val="000000"/>
        </w:rPr>
        <w:t>по обеспечению</w:t>
      </w:r>
      <w:r w:rsidR="000061D2">
        <w:rPr>
          <w:rFonts w:eastAsia="Times New Roman" w:cs="Times New Roman"/>
          <w:color w:val="000000"/>
        </w:rPr>
        <w:t xml:space="preserve"> безопасности (о</w:t>
      </w:r>
      <w:r w:rsidR="00A83173">
        <w:rPr>
          <w:rFonts w:eastAsia="Times New Roman" w:cs="Times New Roman"/>
          <w:color w:val="000000"/>
        </w:rPr>
        <w:t>существление</w:t>
      </w:r>
      <w:r w:rsidR="000061D2">
        <w:rPr>
          <w:rFonts w:eastAsia="Times New Roman" w:cs="Times New Roman"/>
          <w:color w:val="000000"/>
        </w:rPr>
        <w:t xml:space="preserve"> </w:t>
      </w:r>
      <w:r w:rsidR="00D33071">
        <w:rPr>
          <w:rFonts w:eastAsia="Times New Roman" w:cs="Times New Roman"/>
          <w:color w:val="000000"/>
        </w:rPr>
        <w:t>доп</w:t>
      </w:r>
      <w:r w:rsidR="000061D2">
        <w:rPr>
          <w:rFonts w:eastAsia="Times New Roman" w:cs="Times New Roman"/>
          <w:color w:val="000000"/>
        </w:rPr>
        <w:t>у</w:t>
      </w:r>
      <w:r w:rsidR="00A83173">
        <w:rPr>
          <w:rFonts w:eastAsia="Times New Roman" w:cs="Times New Roman"/>
          <w:color w:val="000000"/>
        </w:rPr>
        <w:t>ска, наблюдение и подача сигналов тревог</w:t>
      </w:r>
      <w:r w:rsidR="000061D2">
        <w:rPr>
          <w:rFonts w:eastAsia="Times New Roman" w:cs="Times New Roman"/>
          <w:color w:val="000000"/>
        </w:rPr>
        <w:t>) для работника</w:t>
      </w:r>
      <w:r w:rsidR="00D33071">
        <w:rPr>
          <w:rFonts w:eastAsia="Times New Roman" w:cs="Times New Roman"/>
          <w:color w:val="000000"/>
        </w:rPr>
        <w:t xml:space="preserve"> идентичны вне за</w:t>
      </w:r>
      <w:r w:rsidR="000061D2">
        <w:rPr>
          <w:rFonts w:eastAsia="Times New Roman" w:cs="Times New Roman"/>
          <w:color w:val="000000"/>
        </w:rPr>
        <w:t>висимости от назначения</w:t>
      </w:r>
      <w:r w:rsidR="00A83173">
        <w:rPr>
          <w:rFonts w:eastAsia="Times New Roman" w:cs="Times New Roman"/>
          <w:color w:val="000000"/>
        </w:rPr>
        <w:t xml:space="preserve"> (специфики функционирования)</w:t>
      </w:r>
      <w:r w:rsidR="000061D2">
        <w:rPr>
          <w:rFonts w:eastAsia="Times New Roman" w:cs="Times New Roman"/>
          <w:color w:val="000000"/>
        </w:rPr>
        <w:t xml:space="preserve"> объекта</w:t>
      </w:r>
      <w:r w:rsidR="00700F94">
        <w:rPr>
          <w:rFonts w:eastAsia="Times New Roman" w:cs="Times New Roman"/>
          <w:color w:val="000000"/>
        </w:rPr>
        <w:t>, даже при его транспортировке.</w:t>
      </w:r>
    </w:p>
    <w:p w14:paraId="44778F6C" w14:textId="4834E43A" w:rsidR="007400EC" w:rsidRDefault="00D33071" w:rsidP="00B3467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Работник, имеющий </w:t>
      </w:r>
      <w:r w:rsidR="00726823">
        <w:rPr>
          <w:rFonts w:eastAsia="Times New Roman" w:cs="Times New Roman"/>
          <w:color w:val="000000"/>
        </w:rPr>
        <w:t xml:space="preserve">сквозную для </w:t>
      </w:r>
      <w:r w:rsidR="00A83173">
        <w:rPr>
          <w:rFonts w:eastAsia="Times New Roman" w:cs="Times New Roman"/>
          <w:color w:val="000000"/>
        </w:rPr>
        <w:t xml:space="preserve">профильного </w:t>
      </w:r>
      <w:r w:rsidR="00726823">
        <w:rPr>
          <w:rFonts w:eastAsia="Times New Roman" w:cs="Times New Roman"/>
          <w:color w:val="000000"/>
        </w:rPr>
        <w:t xml:space="preserve">вида деятельности </w:t>
      </w:r>
      <w:r>
        <w:rPr>
          <w:rFonts w:eastAsia="Times New Roman" w:cs="Times New Roman"/>
          <w:color w:val="000000"/>
        </w:rPr>
        <w:t xml:space="preserve">квалификацию </w:t>
      </w:r>
      <w:r w:rsidR="000061D2">
        <w:rPr>
          <w:rFonts w:eastAsia="Times New Roman" w:cs="Times New Roman"/>
          <w:color w:val="000000"/>
        </w:rPr>
        <w:t>может менять место своей работы без дополнительных процедур НОК</w:t>
      </w:r>
      <w:r w:rsidR="00726823">
        <w:rPr>
          <w:rFonts w:eastAsia="Times New Roman" w:cs="Times New Roman"/>
          <w:color w:val="000000"/>
        </w:rPr>
        <w:t xml:space="preserve"> (переквалификация)</w:t>
      </w:r>
      <w:r w:rsidR="000061D2">
        <w:rPr>
          <w:rFonts w:eastAsia="Times New Roman" w:cs="Times New Roman"/>
          <w:color w:val="000000"/>
        </w:rPr>
        <w:t xml:space="preserve">. Именно поэтому наличие у работника начального </w:t>
      </w:r>
      <w:r w:rsidR="00A83173">
        <w:rPr>
          <w:rFonts w:eastAsia="Times New Roman" w:cs="Times New Roman"/>
          <w:color w:val="000000"/>
        </w:rPr>
        <w:t xml:space="preserve">охранного </w:t>
      </w:r>
      <w:r w:rsidR="000061D2">
        <w:rPr>
          <w:rFonts w:eastAsia="Times New Roman" w:cs="Times New Roman"/>
          <w:color w:val="000000"/>
        </w:rPr>
        <w:t>квалификационного уровня 2 создает</w:t>
      </w:r>
      <w:r w:rsidR="005727FC">
        <w:rPr>
          <w:rFonts w:eastAsia="Times New Roman" w:cs="Times New Roman"/>
          <w:color w:val="000000"/>
        </w:rPr>
        <w:t xml:space="preserve"> возможно</w:t>
      </w:r>
      <w:r w:rsidR="00A11044">
        <w:rPr>
          <w:rFonts w:eastAsia="Times New Roman" w:cs="Times New Roman"/>
          <w:color w:val="000000"/>
        </w:rPr>
        <w:t>с</w:t>
      </w:r>
      <w:r w:rsidR="005727FC">
        <w:rPr>
          <w:rFonts w:eastAsia="Times New Roman" w:cs="Times New Roman"/>
          <w:color w:val="000000"/>
        </w:rPr>
        <w:t>т</w:t>
      </w:r>
      <w:r w:rsidR="00A11044">
        <w:rPr>
          <w:rFonts w:eastAsia="Times New Roman" w:cs="Times New Roman"/>
          <w:color w:val="000000"/>
        </w:rPr>
        <w:t>ь</w:t>
      </w:r>
      <w:r w:rsidR="005727FC">
        <w:rPr>
          <w:rFonts w:eastAsia="Times New Roman" w:cs="Times New Roman"/>
          <w:color w:val="000000"/>
        </w:rPr>
        <w:t xml:space="preserve"> любому работодателю пользоваться услугами работников </w:t>
      </w:r>
      <w:r w:rsidR="00A11044">
        <w:rPr>
          <w:rFonts w:eastAsia="Times New Roman" w:cs="Times New Roman"/>
          <w:color w:val="000000"/>
        </w:rPr>
        <w:t xml:space="preserve"> </w:t>
      </w:r>
      <w:r w:rsidR="000061D2">
        <w:rPr>
          <w:rFonts w:eastAsia="Times New Roman" w:cs="Times New Roman"/>
          <w:color w:val="000000"/>
        </w:rPr>
        <w:t xml:space="preserve"> с базовым набором трудовых функций</w:t>
      </w:r>
      <w:r w:rsidR="00A83173">
        <w:rPr>
          <w:rFonts w:eastAsia="Times New Roman" w:cs="Times New Roman"/>
          <w:color w:val="000000"/>
        </w:rPr>
        <w:t xml:space="preserve">, что </w:t>
      </w:r>
      <w:r w:rsidR="000061D2">
        <w:rPr>
          <w:rFonts w:eastAsia="Times New Roman" w:cs="Times New Roman"/>
          <w:color w:val="000000"/>
        </w:rPr>
        <w:t>сп</w:t>
      </w:r>
      <w:r w:rsidR="00A11044">
        <w:rPr>
          <w:rFonts w:eastAsia="Times New Roman" w:cs="Times New Roman"/>
          <w:color w:val="000000"/>
        </w:rPr>
        <w:t>о</w:t>
      </w:r>
      <w:r w:rsidR="000061D2">
        <w:rPr>
          <w:rFonts w:eastAsia="Times New Roman" w:cs="Times New Roman"/>
          <w:color w:val="000000"/>
        </w:rPr>
        <w:t>собствует</w:t>
      </w:r>
      <w:r w:rsidR="005727FC">
        <w:rPr>
          <w:rFonts w:eastAsia="Times New Roman" w:cs="Times New Roman"/>
          <w:color w:val="000000"/>
        </w:rPr>
        <w:t xml:space="preserve"> их</w:t>
      </w:r>
      <w:r w:rsidR="000061D2">
        <w:rPr>
          <w:rFonts w:eastAsia="Times New Roman" w:cs="Times New Roman"/>
          <w:color w:val="000000"/>
        </w:rPr>
        <w:t xml:space="preserve"> </w:t>
      </w:r>
      <w:r w:rsidR="00A83173">
        <w:rPr>
          <w:rFonts w:eastAsia="Times New Roman" w:cs="Times New Roman"/>
          <w:color w:val="000000"/>
        </w:rPr>
        <w:t xml:space="preserve">мотивированному </w:t>
      </w:r>
      <w:r w:rsidR="000061D2">
        <w:rPr>
          <w:rFonts w:eastAsia="Times New Roman" w:cs="Times New Roman"/>
          <w:color w:val="000000"/>
        </w:rPr>
        <w:t xml:space="preserve">профессиональному росту на специализированных рабочих местах. При смене места работы для </w:t>
      </w:r>
      <w:r w:rsidR="00A83173">
        <w:rPr>
          <w:rFonts w:eastAsia="Times New Roman" w:cs="Times New Roman"/>
          <w:color w:val="000000"/>
        </w:rPr>
        <w:t>работника</w:t>
      </w:r>
      <w:r w:rsidR="000061D2">
        <w:rPr>
          <w:rFonts w:eastAsia="Times New Roman" w:cs="Times New Roman"/>
          <w:color w:val="000000"/>
        </w:rPr>
        <w:t xml:space="preserve"> меняется только </w:t>
      </w:r>
      <w:r w:rsidR="00A83173">
        <w:rPr>
          <w:rFonts w:eastAsia="Times New Roman" w:cs="Times New Roman"/>
          <w:color w:val="000000"/>
        </w:rPr>
        <w:t xml:space="preserve">узко </w:t>
      </w:r>
      <w:r w:rsidR="005727FC">
        <w:rPr>
          <w:rFonts w:eastAsia="Times New Roman" w:cs="Times New Roman"/>
          <w:color w:val="000000"/>
        </w:rPr>
        <w:t>специал</w:t>
      </w:r>
      <w:r w:rsidR="00A83173">
        <w:rPr>
          <w:rFonts w:eastAsia="Times New Roman" w:cs="Times New Roman"/>
          <w:color w:val="000000"/>
        </w:rPr>
        <w:t>ьные,</w:t>
      </w:r>
      <w:r w:rsidR="005727FC">
        <w:rPr>
          <w:rFonts w:eastAsia="Times New Roman" w:cs="Times New Roman"/>
          <w:color w:val="000000"/>
        </w:rPr>
        <w:t xml:space="preserve"> предусмотренные действующим законодательством </w:t>
      </w:r>
      <w:r w:rsidR="00A83173">
        <w:rPr>
          <w:rFonts w:eastAsia="Times New Roman" w:cs="Times New Roman"/>
          <w:color w:val="000000"/>
        </w:rPr>
        <w:t xml:space="preserve">или регламентированые целевыми задачами </w:t>
      </w:r>
      <w:r w:rsidR="000061D2">
        <w:rPr>
          <w:rFonts w:eastAsia="Times New Roman" w:cs="Times New Roman"/>
          <w:color w:val="000000"/>
        </w:rPr>
        <w:t xml:space="preserve">постовые обязанности (табель поста), </w:t>
      </w:r>
      <w:r w:rsidR="005727FC">
        <w:rPr>
          <w:rFonts w:eastAsia="Times New Roman" w:cs="Times New Roman"/>
          <w:color w:val="000000"/>
        </w:rPr>
        <w:t>устанавливаемые для него работодателем при неизменных трудовых функциях, определенных в профильном ПС</w:t>
      </w:r>
      <w:r w:rsidR="000061D2">
        <w:rPr>
          <w:rFonts w:eastAsia="Times New Roman" w:cs="Times New Roman"/>
          <w:color w:val="000000"/>
        </w:rPr>
        <w:t xml:space="preserve">. </w:t>
      </w:r>
    </w:p>
    <w:p w14:paraId="43C19ED6" w14:textId="50209962" w:rsidR="006C67CC" w:rsidRDefault="00F80816" w:rsidP="00B3467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К таким раб</w:t>
      </w:r>
      <w:r w:rsidR="00710322"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</w:rPr>
        <w:t>тникам относятся и самозанятые граждане</w:t>
      </w:r>
      <w:r w:rsidR="00710322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оказывающие услуги по обеспечению безопасности в режиме НПД</w:t>
      </w:r>
      <w:r w:rsidR="00710322">
        <w:rPr>
          <w:rFonts w:eastAsia="Times New Roman" w:cs="Times New Roman"/>
          <w:color w:val="000000"/>
        </w:rPr>
        <w:t xml:space="preserve"> (перевозчики грузов, сторожа,</w:t>
      </w:r>
      <w:r w:rsidR="0046411B">
        <w:rPr>
          <w:rFonts w:eastAsia="Times New Roman" w:cs="Times New Roman"/>
          <w:color w:val="000000"/>
        </w:rPr>
        <w:t xml:space="preserve"> распорядители, вахтеры и т.п.)</w:t>
      </w:r>
      <w:r>
        <w:rPr>
          <w:rFonts w:eastAsia="Times New Roman" w:cs="Times New Roman"/>
          <w:color w:val="000000"/>
        </w:rPr>
        <w:t>. Граждане, имеющие статус частного охранника</w:t>
      </w:r>
      <w:r w:rsidR="00A11044">
        <w:rPr>
          <w:rFonts w:eastAsia="Times New Roman" w:cs="Times New Roman"/>
          <w:color w:val="000000"/>
        </w:rPr>
        <w:t>, или заключившие к</w:t>
      </w:r>
      <w:r w:rsidR="00710322">
        <w:rPr>
          <w:rFonts w:eastAsia="Times New Roman" w:cs="Times New Roman"/>
          <w:color w:val="000000"/>
        </w:rPr>
        <w:t>онтракты например</w:t>
      </w:r>
      <w:r w:rsidR="0032420C">
        <w:rPr>
          <w:rFonts w:eastAsia="Times New Roman" w:cs="Times New Roman"/>
          <w:color w:val="000000"/>
        </w:rPr>
        <w:t>,</w:t>
      </w:r>
      <w:r w:rsidR="00710322">
        <w:rPr>
          <w:rFonts w:eastAsia="Times New Roman" w:cs="Times New Roman"/>
          <w:color w:val="000000"/>
        </w:rPr>
        <w:t xml:space="preserve"> с ведомственн</w:t>
      </w:r>
      <w:r w:rsidR="00A11044">
        <w:rPr>
          <w:rFonts w:eastAsia="Times New Roman" w:cs="Times New Roman"/>
          <w:color w:val="000000"/>
        </w:rPr>
        <w:t>о</w:t>
      </w:r>
      <w:r w:rsidR="00710322">
        <w:rPr>
          <w:rFonts w:eastAsia="Times New Roman" w:cs="Times New Roman"/>
          <w:color w:val="000000"/>
        </w:rPr>
        <w:t>й</w:t>
      </w:r>
      <w:r w:rsidR="00A11044">
        <w:rPr>
          <w:rFonts w:eastAsia="Times New Roman" w:cs="Times New Roman"/>
          <w:color w:val="000000"/>
        </w:rPr>
        <w:t xml:space="preserve"> охраной,</w:t>
      </w:r>
      <w:r>
        <w:rPr>
          <w:rFonts w:eastAsia="Times New Roman" w:cs="Times New Roman"/>
          <w:color w:val="000000"/>
        </w:rPr>
        <w:t xml:space="preserve"> </w:t>
      </w:r>
      <w:r w:rsidR="00446451">
        <w:rPr>
          <w:rFonts w:eastAsia="Times New Roman" w:cs="Times New Roman"/>
          <w:color w:val="000000"/>
        </w:rPr>
        <w:t>также имеют право на соискание данной квалификации</w:t>
      </w:r>
      <w:r w:rsidR="00710322">
        <w:rPr>
          <w:rFonts w:eastAsia="Times New Roman" w:cs="Times New Roman"/>
          <w:color w:val="000000"/>
        </w:rPr>
        <w:t xml:space="preserve"> вне зависимости от занимаемой должности</w:t>
      </w:r>
      <w:r w:rsidR="0032420C">
        <w:rPr>
          <w:rFonts w:eastAsia="Times New Roman" w:cs="Times New Roman"/>
          <w:color w:val="000000"/>
        </w:rPr>
        <w:t xml:space="preserve"> в той или иной организации</w:t>
      </w:r>
      <w:r w:rsidR="00446451">
        <w:rPr>
          <w:rFonts w:eastAsia="Times New Roman" w:cs="Times New Roman"/>
          <w:color w:val="000000"/>
        </w:rPr>
        <w:t xml:space="preserve">. </w:t>
      </w:r>
    </w:p>
    <w:p w14:paraId="20020795" w14:textId="77777777" w:rsidR="00437145" w:rsidRDefault="007A3766" w:rsidP="00B3467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</w:t>
      </w:r>
      <w:r w:rsidR="00B53301">
        <w:rPr>
          <w:rFonts w:eastAsia="Times New Roman" w:cs="Times New Roman"/>
          <w:color w:val="000000"/>
        </w:rPr>
        <w:t>Таким образом, д</w:t>
      </w:r>
      <w:r w:rsidR="00B34671">
        <w:rPr>
          <w:rFonts w:eastAsia="Times New Roman" w:cs="Times New Roman"/>
          <w:color w:val="000000"/>
        </w:rPr>
        <w:t xml:space="preserve">анная квалификация </w:t>
      </w:r>
      <w:r>
        <w:rPr>
          <w:rFonts w:eastAsia="Times New Roman" w:cs="Times New Roman"/>
          <w:color w:val="000000"/>
        </w:rPr>
        <w:t xml:space="preserve">в соответствии со ст. 57 ТК РФ, </w:t>
      </w:r>
      <w:r w:rsidR="00B34671">
        <w:rPr>
          <w:rFonts w:eastAsia="Times New Roman" w:cs="Times New Roman"/>
          <w:color w:val="000000"/>
        </w:rPr>
        <w:t xml:space="preserve">позволяет </w:t>
      </w:r>
      <w:r w:rsidR="00B53301">
        <w:rPr>
          <w:rFonts w:eastAsia="Times New Roman" w:cs="Times New Roman"/>
          <w:color w:val="000000"/>
        </w:rPr>
        <w:t>работнику выполнять раб</w:t>
      </w:r>
      <w:r>
        <w:rPr>
          <w:rFonts w:eastAsia="Times New Roman" w:cs="Times New Roman"/>
          <w:color w:val="000000"/>
        </w:rPr>
        <w:t>о</w:t>
      </w:r>
      <w:r w:rsidR="00B53301">
        <w:rPr>
          <w:rFonts w:eastAsia="Times New Roman" w:cs="Times New Roman"/>
          <w:color w:val="000000"/>
        </w:rPr>
        <w:t xml:space="preserve">ты или оказывать услуги практически на любом </w:t>
      </w:r>
      <w:r w:rsidR="0032420C">
        <w:rPr>
          <w:rFonts w:eastAsia="Times New Roman" w:cs="Times New Roman"/>
          <w:color w:val="000000"/>
        </w:rPr>
        <w:t xml:space="preserve">участке </w:t>
      </w:r>
      <w:r w:rsidR="00437145">
        <w:rPr>
          <w:rFonts w:eastAsia="Times New Roman" w:cs="Times New Roman"/>
          <w:color w:val="000000"/>
        </w:rPr>
        <w:t>о</w:t>
      </w:r>
      <w:r w:rsidR="0032420C">
        <w:rPr>
          <w:rFonts w:eastAsia="Times New Roman" w:cs="Times New Roman"/>
          <w:color w:val="000000"/>
        </w:rPr>
        <w:t>храняемого объекта</w:t>
      </w:r>
      <w:r>
        <w:rPr>
          <w:rFonts w:eastAsia="Times New Roman" w:cs="Times New Roman"/>
          <w:color w:val="000000"/>
        </w:rPr>
        <w:t xml:space="preserve"> вне зависимости от его </w:t>
      </w:r>
      <w:r w:rsidR="0032420C">
        <w:rPr>
          <w:rFonts w:eastAsia="Times New Roman" w:cs="Times New Roman"/>
          <w:color w:val="000000"/>
        </w:rPr>
        <w:t xml:space="preserve">администативного, </w:t>
      </w:r>
      <w:r w:rsidR="00D06EFF">
        <w:rPr>
          <w:rFonts w:eastAsia="Times New Roman" w:cs="Times New Roman"/>
          <w:color w:val="000000"/>
        </w:rPr>
        <w:t xml:space="preserve">промышленного или социального </w:t>
      </w:r>
      <w:r>
        <w:rPr>
          <w:rFonts w:eastAsia="Times New Roman" w:cs="Times New Roman"/>
          <w:color w:val="000000"/>
        </w:rPr>
        <w:t xml:space="preserve">назначения. </w:t>
      </w:r>
    </w:p>
    <w:p w14:paraId="7F2482EE" w14:textId="05DA9CC4" w:rsidR="00710322" w:rsidRPr="00761EBD" w:rsidRDefault="00437145" w:rsidP="00B34671">
      <w:pPr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</w:rPr>
        <w:t xml:space="preserve">         </w:t>
      </w:r>
      <w:r w:rsidR="00710322">
        <w:rPr>
          <w:rFonts w:eastAsia="Times New Roman" w:cs="Times New Roman"/>
          <w:color w:val="000000"/>
        </w:rPr>
        <w:t xml:space="preserve">Срок действия квалификации – 3 года. </w:t>
      </w:r>
      <w:r w:rsidR="0032420C">
        <w:rPr>
          <w:rFonts w:eastAsia="Times New Roman" w:cs="Times New Roman"/>
          <w:color w:val="000000"/>
        </w:rPr>
        <w:t>Квалификационный экзамен – теоретический тест на общей цифровой платформе НАРК.</w:t>
      </w:r>
      <w:r w:rsidR="00A04FFA">
        <w:rPr>
          <w:rFonts w:eastAsia="Times New Roman" w:cs="Times New Roman"/>
          <w:color w:val="000000"/>
        </w:rPr>
        <w:t xml:space="preserve"> Квалификационный уровень 3 и выше соответствуют трудовым функциям работника предусматривающих  использование на его рабчем месте оружия, спецсредств и защитных приемов физической силы и требует практического экзамена по указанным дисциплинам. </w:t>
      </w:r>
    </w:p>
    <w:p w14:paraId="7B01BC16" w14:textId="230C0AAB" w:rsidR="00710322" w:rsidRDefault="00437145" w:rsidP="00B3467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</w:t>
      </w:r>
      <w:r w:rsidR="00A04FFA">
        <w:rPr>
          <w:rFonts w:eastAsia="Times New Roman" w:cs="Times New Roman"/>
          <w:color w:val="000000"/>
        </w:rPr>
        <w:t>Особенностью проведен</w:t>
      </w:r>
      <w:r w:rsidR="00710322">
        <w:rPr>
          <w:rFonts w:eastAsia="Times New Roman" w:cs="Times New Roman"/>
          <w:color w:val="000000"/>
        </w:rPr>
        <w:t>и</w:t>
      </w:r>
      <w:r w:rsidR="00A04FFA">
        <w:rPr>
          <w:rFonts w:eastAsia="Times New Roman" w:cs="Times New Roman"/>
          <w:color w:val="000000"/>
        </w:rPr>
        <w:t xml:space="preserve">я НОК для соискателей квалификации </w:t>
      </w:r>
      <w:r w:rsidR="00A04FFA" w:rsidRPr="00437145">
        <w:rPr>
          <w:rFonts w:eastAsia="Times New Roman" w:cs="Times New Roman"/>
          <w:i/>
          <w:color w:val="000000"/>
        </w:rPr>
        <w:t>“Работник по обеспечению безопасности”</w:t>
      </w:r>
      <w:r w:rsidR="00A04FFA">
        <w:rPr>
          <w:rFonts w:eastAsia="Times New Roman" w:cs="Times New Roman"/>
          <w:color w:val="000000"/>
        </w:rPr>
        <w:t xml:space="preserve"> </w:t>
      </w:r>
      <w:r w:rsidR="00710322">
        <w:rPr>
          <w:rFonts w:eastAsia="Times New Roman" w:cs="Times New Roman"/>
          <w:color w:val="000000"/>
        </w:rPr>
        <w:t xml:space="preserve">является то, что данные работы и услуги проводятся и оказываются в натуральном виде. Это означает, что проведение практического экзамена </w:t>
      </w:r>
      <w:r w:rsidR="006223C0">
        <w:rPr>
          <w:rFonts w:eastAsia="Times New Roman" w:cs="Times New Roman"/>
          <w:color w:val="000000"/>
        </w:rPr>
        <w:t>НОК сведет квалификационную сессию к абсурду. Все, что должен делать рабтник – это наблюдать и принимать ситуационные решения , в том числе и подавть сигналы тревоги имеющимися на рабочем месте средствами связи и сигнализации (радиостанция, кнопка тревожной сигнализации, телефон). Разрабатывать квалификационные требования для практич</w:t>
      </w:r>
      <w:r w:rsidR="00A04FFA">
        <w:rPr>
          <w:rFonts w:eastAsia="Times New Roman" w:cs="Times New Roman"/>
          <w:color w:val="000000"/>
        </w:rPr>
        <w:t>ес</w:t>
      </w:r>
      <w:r w:rsidR="006223C0">
        <w:rPr>
          <w:rFonts w:eastAsia="Times New Roman" w:cs="Times New Roman"/>
          <w:color w:val="000000"/>
        </w:rPr>
        <w:t>кго зв</w:t>
      </w:r>
      <w:r w:rsidR="00A04FFA">
        <w:rPr>
          <w:rFonts w:eastAsia="Times New Roman" w:cs="Times New Roman"/>
          <w:color w:val="000000"/>
        </w:rPr>
        <w:t>о</w:t>
      </w:r>
      <w:r w:rsidR="006223C0">
        <w:rPr>
          <w:rFonts w:eastAsia="Times New Roman" w:cs="Times New Roman"/>
          <w:color w:val="000000"/>
        </w:rPr>
        <w:t xml:space="preserve">нка по телефону или нажатия </w:t>
      </w:r>
      <w:r w:rsidR="00A04FFA">
        <w:rPr>
          <w:rFonts w:eastAsia="Times New Roman" w:cs="Times New Roman"/>
          <w:color w:val="000000"/>
        </w:rPr>
        <w:t xml:space="preserve">установленной работодателем </w:t>
      </w:r>
      <w:r w:rsidR="006223C0">
        <w:rPr>
          <w:rFonts w:eastAsia="Times New Roman" w:cs="Times New Roman"/>
          <w:color w:val="000000"/>
        </w:rPr>
        <w:t xml:space="preserve">кнопки, рациональным не представляется. </w:t>
      </w:r>
    </w:p>
    <w:p w14:paraId="19CDF9D3" w14:textId="77777777" w:rsidR="006223C0" w:rsidRDefault="006223C0" w:rsidP="00B34671">
      <w:pPr>
        <w:jc w:val="both"/>
        <w:rPr>
          <w:rFonts w:eastAsia="Times New Roman" w:cs="Times New Roman"/>
          <w:color w:val="000000"/>
        </w:rPr>
      </w:pPr>
    </w:p>
    <w:p w14:paraId="7E2A415D" w14:textId="4115A780" w:rsidR="00C7432F" w:rsidRDefault="00A04FFA" w:rsidP="00B3467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</w:t>
      </w:r>
      <w:r w:rsidR="006223C0">
        <w:rPr>
          <w:rFonts w:eastAsia="Times New Roman" w:cs="Times New Roman"/>
          <w:color w:val="000000"/>
        </w:rPr>
        <w:t>В связи с этим</w:t>
      </w:r>
      <w:r>
        <w:rPr>
          <w:rFonts w:eastAsia="Times New Roman" w:cs="Times New Roman"/>
          <w:color w:val="000000"/>
        </w:rPr>
        <w:t>,</w:t>
      </w:r>
      <w:r w:rsidR="006223C0">
        <w:rPr>
          <w:rFonts w:eastAsia="Times New Roman" w:cs="Times New Roman"/>
          <w:color w:val="000000"/>
        </w:rPr>
        <w:t xml:space="preserve"> прошу Вас высказать свое мнение по данному вопросу, для представления</w:t>
      </w:r>
      <w:r w:rsidR="00654B80">
        <w:rPr>
          <w:rFonts w:eastAsia="Times New Roman" w:cs="Times New Roman"/>
          <w:color w:val="000000"/>
        </w:rPr>
        <w:t xml:space="preserve"> СПК НСБ</w:t>
      </w:r>
      <w:r w:rsidR="006223C0">
        <w:rPr>
          <w:rFonts w:eastAsia="Times New Roman" w:cs="Times New Roman"/>
          <w:color w:val="000000"/>
        </w:rPr>
        <w:t xml:space="preserve"> аргументирванного коллегиального запроса в НСПК по исключению практического экзамена НОК для соискателй указанной квалификации. Это исключение из общих правил приведет не только к снижению цены НОК и снимет д</w:t>
      </w:r>
      <w:r>
        <w:rPr>
          <w:rFonts w:eastAsia="Times New Roman" w:cs="Times New Roman"/>
          <w:color w:val="000000"/>
        </w:rPr>
        <w:t>о</w:t>
      </w:r>
      <w:r w:rsidR="006223C0">
        <w:rPr>
          <w:rFonts w:eastAsia="Times New Roman" w:cs="Times New Roman"/>
          <w:color w:val="000000"/>
        </w:rPr>
        <w:t>полнительные наг</w:t>
      </w:r>
      <w:r>
        <w:rPr>
          <w:rFonts w:eastAsia="Times New Roman" w:cs="Times New Roman"/>
          <w:color w:val="000000"/>
        </w:rPr>
        <w:t>р</w:t>
      </w:r>
      <w:r w:rsidR="006223C0">
        <w:rPr>
          <w:rFonts w:eastAsia="Times New Roman" w:cs="Times New Roman"/>
          <w:color w:val="000000"/>
        </w:rPr>
        <w:t xml:space="preserve">узки на ЦОК, но и значительно ускорит и упростит сам процесс получения квалификации для соискателя. </w:t>
      </w:r>
    </w:p>
    <w:p w14:paraId="45534EFB" w14:textId="4B8CB337" w:rsidR="006223C0" w:rsidRDefault="00E16701" w:rsidP="00B3467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r w:rsidR="00C7432F">
        <w:rPr>
          <w:rFonts w:eastAsia="Times New Roman" w:cs="Times New Roman"/>
          <w:color w:val="000000"/>
        </w:rPr>
        <w:t>Также нам важно понимать позицию возглавляемого Вами Совета по вопросу освобождения ветеранов военных действий от практического э</w:t>
      </w:r>
      <w:r w:rsidR="00654B80">
        <w:rPr>
          <w:rFonts w:eastAsia="Times New Roman" w:cs="Times New Roman"/>
          <w:color w:val="000000"/>
        </w:rPr>
        <w:t>к</w:t>
      </w:r>
      <w:r w:rsidR="00C7432F">
        <w:rPr>
          <w:rFonts w:eastAsia="Times New Roman" w:cs="Times New Roman"/>
          <w:color w:val="000000"/>
        </w:rPr>
        <w:t>замен</w:t>
      </w:r>
      <w:r>
        <w:rPr>
          <w:rFonts w:eastAsia="Times New Roman" w:cs="Times New Roman"/>
          <w:color w:val="000000"/>
        </w:rPr>
        <w:t>а НОК по охранным квалификациям,</w:t>
      </w:r>
      <w:r w:rsidR="00C7432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предусматривающим</w:t>
      </w:r>
      <w:r w:rsidR="00C7432F">
        <w:rPr>
          <w:rFonts w:eastAsia="Times New Roman" w:cs="Times New Roman"/>
          <w:color w:val="000000"/>
        </w:rPr>
        <w:t xml:space="preserve"> демонст</w:t>
      </w:r>
      <w:r>
        <w:rPr>
          <w:rFonts w:eastAsia="Times New Roman" w:cs="Times New Roman"/>
          <w:color w:val="000000"/>
        </w:rPr>
        <w:t>р</w:t>
      </w:r>
      <w:r w:rsidR="00C7432F">
        <w:rPr>
          <w:rFonts w:eastAsia="Times New Roman" w:cs="Times New Roman"/>
          <w:color w:val="000000"/>
        </w:rPr>
        <w:t xml:space="preserve">ацию навыков </w:t>
      </w:r>
      <w:r w:rsidR="00654B80">
        <w:rPr>
          <w:rFonts w:eastAsia="Times New Roman" w:cs="Times New Roman"/>
          <w:color w:val="000000"/>
        </w:rPr>
        <w:t>стрельбы, в том чис</w:t>
      </w:r>
      <w:r>
        <w:rPr>
          <w:rFonts w:eastAsia="Times New Roman" w:cs="Times New Roman"/>
          <w:color w:val="000000"/>
        </w:rPr>
        <w:t xml:space="preserve">ле из автоматического оружия (инкассаторы), применение спецсредств и защитных приемов применения физической силы. </w:t>
      </w:r>
    </w:p>
    <w:p w14:paraId="5B1BD260" w14:textId="5FFF6F47" w:rsidR="00DE052C" w:rsidRDefault="00A04FFA" w:rsidP="00B3467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</w:t>
      </w:r>
      <w:r w:rsidR="006223C0">
        <w:rPr>
          <w:rFonts w:eastAsia="Times New Roman" w:cs="Times New Roman"/>
          <w:color w:val="000000"/>
        </w:rPr>
        <w:t xml:space="preserve">СПК НСБ полностью поддерживает инициативу </w:t>
      </w:r>
      <w:r w:rsidR="009B3CB7">
        <w:rPr>
          <w:rFonts w:eastAsia="Times New Roman" w:cs="Times New Roman"/>
          <w:color w:val="000000"/>
        </w:rPr>
        <w:t>НАРК по интеграции реестра профессиональных квалификаций в систему госуслуг. Наличие у гражданина отметки о его квалификации значительно упростит работу кадрового подразделения любого работодателя и повысит его собственную конкурентноспособность в среде информационных сервисов по замещению вакантных рабочих мест.</w:t>
      </w:r>
      <w:r w:rsidR="00686D2C">
        <w:rPr>
          <w:rFonts w:eastAsia="Times New Roman" w:cs="Times New Roman"/>
          <w:color w:val="000000"/>
        </w:rPr>
        <w:t xml:space="preserve"> Ориентировочный общий объем соискателей данной квалификации на федеральном рынке труда на начало 2023 года </w:t>
      </w:r>
      <w:r w:rsidR="00807F6C">
        <w:rPr>
          <w:rFonts w:eastAsia="Times New Roman" w:cs="Times New Roman"/>
          <w:color w:val="000000"/>
        </w:rPr>
        <w:t xml:space="preserve">с учетом перспектив проведения СВО </w:t>
      </w:r>
      <w:r w:rsidR="00686D2C">
        <w:rPr>
          <w:rFonts w:eastAsia="Times New Roman" w:cs="Times New Roman"/>
          <w:color w:val="000000"/>
        </w:rPr>
        <w:t>сос</w:t>
      </w:r>
      <w:r w:rsidR="00DE052C">
        <w:rPr>
          <w:rFonts w:eastAsia="Times New Roman" w:cs="Times New Roman"/>
          <w:color w:val="000000"/>
        </w:rPr>
        <w:t>тавляет до 500 тыс. работников.</w:t>
      </w:r>
    </w:p>
    <w:p w14:paraId="4FB54A84" w14:textId="131B1D91" w:rsidR="0015108A" w:rsidRPr="00761EBD" w:rsidRDefault="00686D2C" w:rsidP="00761EBD">
      <w:pPr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r w:rsidR="00A04FFA" w:rsidRPr="00761EBD">
        <w:rPr>
          <w:rFonts w:eastAsia="Times New Roman" w:cs="Times New Roman"/>
          <w:b/>
          <w:color w:val="000000"/>
        </w:rPr>
        <w:t>Настоящим</w:t>
      </w:r>
      <w:r w:rsidRPr="00761EBD">
        <w:rPr>
          <w:rFonts w:eastAsia="Times New Roman" w:cs="Times New Roman"/>
          <w:b/>
          <w:color w:val="000000"/>
        </w:rPr>
        <w:t xml:space="preserve"> </w:t>
      </w:r>
      <w:r w:rsidR="0015108A" w:rsidRPr="00761EBD">
        <w:rPr>
          <w:rFonts w:eastAsia="Times New Roman" w:cs="Times New Roman"/>
          <w:b/>
          <w:color w:val="000000"/>
        </w:rPr>
        <w:t>СПК НСБ предлагает совместно воспользоватся квалификацией для упорядочения трудовых отношений на</w:t>
      </w:r>
      <w:bookmarkStart w:id="0" w:name="_GoBack"/>
      <w:bookmarkEnd w:id="0"/>
      <w:r w:rsidR="0015108A" w:rsidRPr="00761EBD">
        <w:rPr>
          <w:rFonts w:eastAsia="Times New Roman" w:cs="Times New Roman"/>
          <w:b/>
          <w:color w:val="000000"/>
        </w:rPr>
        <w:t xml:space="preserve"> рынке охранного труда. </w:t>
      </w:r>
    </w:p>
    <w:p w14:paraId="26DE2CED" w14:textId="6EDF82DC" w:rsidR="00B40C38" w:rsidRPr="00B40C38" w:rsidRDefault="00DE052C" w:rsidP="00E16701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</w:rPr>
        <w:t xml:space="preserve">         </w:t>
      </w:r>
      <w:r w:rsidR="00B40C38" w:rsidRPr="00B40C38">
        <w:rPr>
          <w:rFonts w:eastAsia="Times New Roman" w:cs="Times New Roman"/>
          <w:color w:val="000000"/>
        </w:rPr>
        <w:t>Если охранные квалификации не находится в сфере интересов в</w:t>
      </w:r>
      <w:r>
        <w:rPr>
          <w:rFonts w:eastAsia="Times New Roman" w:cs="Times New Roman"/>
          <w:color w:val="000000"/>
        </w:rPr>
        <w:t xml:space="preserve">озглавляемого Вами </w:t>
      </w:r>
      <w:r w:rsidR="00B40C38" w:rsidRPr="00B40C38">
        <w:rPr>
          <w:rFonts w:eastAsia="Times New Roman" w:cs="Times New Roman"/>
          <w:color w:val="000000"/>
        </w:rPr>
        <w:t>С</w:t>
      </w:r>
      <w:r>
        <w:rPr>
          <w:rFonts w:eastAsia="Times New Roman" w:cs="Times New Roman"/>
          <w:color w:val="000000"/>
        </w:rPr>
        <w:t>овета, то</w:t>
      </w:r>
      <w:r w:rsidR="00B40C38" w:rsidRPr="00B40C38">
        <w:rPr>
          <w:rFonts w:eastAsia="Times New Roman" w:cs="Times New Roman"/>
          <w:color w:val="000000"/>
        </w:rPr>
        <w:t xml:space="preserve"> просьба сообщить об этом </w:t>
      </w:r>
      <w:r w:rsidR="00E16701" w:rsidRPr="00B40C38">
        <w:rPr>
          <w:rFonts w:eastAsia="Times New Roman" w:cs="Times New Roman"/>
          <w:color w:val="000000"/>
        </w:rPr>
        <w:t xml:space="preserve">нам </w:t>
      </w:r>
      <w:r w:rsidR="00B40C38" w:rsidRPr="00B40C38">
        <w:rPr>
          <w:rFonts w:eastAsia="Times New Roman" w:cs="Times New Roman"/>
          <w:color w:val="000000"/>
        </w:rPr>
        <w:t>в ответном письме</w:t>
      </w:r>
      <w:r w:rsidR="00E16701">
        <w:rPr>
          <w:rFonts w:eastAsia="Times New Roman" w:cs="Times New Roman"/>
          <w:color w:val="000000"/>
        </w:rPr>
        <w:t xml:space="preserve"> в течении 10 рабочих дней с момента получения данного письма для своевременной подгот</w:t>
      </w:r>
      <w:r>
        <w:rPr>
          <w:rFonts w:eastAsia="Times New Roman" w:cs="Times New Roman"/>
          <w:color w:val="000000"/>
        </w:rPr>
        <w:t>о</w:t>
      </w:r>
      <w:r w:rsidR="00E16701">
        <w:rPr>
          <w:rFonts w:eastAsia="Times New Roman" w:cs="Times New Roman"/>
          <w:color w:val="000000"/>
        </w:rPr>
        <w:t xml:space="preserve">вки СПК НСБ требуемого пакета документов для НАРК и Минтруда России.  </w:t>
      </w:r>
    </w:p>
    <w:p w14:paraId="020B7FE8" w14:textId="77777777" w:rsidR="00B40C38" w:rsidRDefault="00B40C38" w:rsidP="00E7538B">
      <w:pPr>
        <w:jc w:val="both"/>
        <w:rPr>
          <w:lang w:val="ru-RU"/>
        </w:rPr>
      </w:pPr>
    </w:p>
    <w:p w14:paraId="0FC24BD4" w14:textId="3546B940" w:rsidR="0003720B" w:rsidRDefault="00843F04" w:rsidP="00E7538B">
      <w:pPr>
        <w:jc w:val="both"/>
        <w:rPr>
          <w:lang w:val="ru-RU"/>
        </w:rPr>
      </w:pPr>
      <w:r>
        <w:rPr>
          <w:lang w:val="ru-RU"/>
        </w:rPr>
        <w:t xml:space="preserve">С уважением, </w:t>
      </w:r>
    </w:p>
    <w:p w14:paraId="2BE3C6B4" w14:textId="09658F76" w:rsidR="0003720B" w:rsidRDefault="00761EBD" w:rsidP="00761EBD">
      <w:pPr>
        <w:jc w:val="right"/>
        <w:rPr>
          <w:lang w:val="ru-RU"/>
        </w:rPr>
      </w:pPr>
      <w:r>
        <w:rPr>
          <w:noProof/>
        </w:rPr>
        <w:drawing>
          <wp:inline distT="0" distB="0" distL="0" distR="0" wp14:anchorId="463E3C30" wp14:editId="5D0DA00A">
            <wp:extent cx="2421890" cy="1694487"/>
            <wp:effectExtent l="0" t="0" r="0" b="7620"/>
            <wp:docPr id="2" name="Picture 2" descr="NAST:СТАНДАРТЫ:СПК НСБ # 032:LOGO/STAMP/IMAGES:СПК НСБ факсими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T:СТАНДАРТЫ:СПК НСБ # 032:LOGO/STAMP/IMAGES:СПК НСБ факсимиле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06" cy="16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9C9C" w14:textId="77777777" w:rsidR="0003720B" w:rsidRDefault="0003720B" w:rsidP="00E7538B">
      <w:pPr>
        <w:jc w:val="both"/>
        <w:rPr>
          <w:lang w:val="ru-RU"/>
        </w:rPr>
      </w:pPr>
    </w:p>
    <w:p w14:paraId="0E00DA71" w14:textId="77777777" w:rsidR="00DE052C" w:rsidRDefault="00DE052C" w:rsidP="00E7538B">
      <w:pPr>
        <w:jc w:val="both"/>
        <w:rPr>
          <w:lang w:val="ru-RU"/>
        </w:rPr>
      </w:pPr>
    </w:p>
    <w:p w14:paraId="63E4390D" w14:textId="679D844C" w:rsidR="00843F04" w:rsidRDefault="00843F04" w:rsidP="00DE052C">
      <w:pPr>
        <w:jc w:val="right"/>
        <w:rPr>
          <w:lang w:val="ru-RU"/>
        </w:rPr>
      </w:pPr>
      <w:r>
        <w:rPr>
          <w:lang w:val="ru-RU"/>
        </w:rPr>
        <w:t xml:space="preserve">Председатель СПК НСБ </w:t>
      </w:r>
    </w:p>
    <w:p w14:paraId="18A8199A" w14:textId="03EAF3F4" w:rsidR="00843F04" w:rsidRDefault="00843F04" w:rsidP="00DE052C">
      <w:pPr>
        <w:jc w:val="right"/>
        <w:rPr>
          <w:lang w:val="ru-RU"/>
        </w:rPr>
      </w:pPr>
      <w:r>
        <w:rPr>
          <w:lang w:val="ru-RU"/>
        </w:rPr>
        <w:t>Фонарев Д.Н.</w:t>
      </w:r>
    </w:p>
    <w:p w14:paraId="63A1EA46" w14:textId="77777777" w:rsidR="00B70702" w:rsidRDefault="00B70702" w:rsidP="00DE052C">
      <w:pPr>
        <w:jc w:val="right"/>
        <w:rPr>
          <w:lang w:val="ru-RU"/>
        </w:rPr>
      </w:pPr>
    </w:p>
    <w:p w14:paraId="258EEB61" w14:textId="6235CC39" w:rsidR="001B174C" w:rsidRDefault="00761EBD" w:rsidP="00761EBD">
      <w:pPr>
        <w:jc w:val="right"/>
        <w:rPr>
          <w:i/>
          <w:lang w:val="ru-RU"/>
        </w:rPr>
      </w:pPr>
      <w:r>
        <w:rPr>
          <w:i/>
          <w:lang w:val="ru-RU"/>
        </w:rPr>
        <w:t>16</w:t>
      </w:r>
      <w:r w:rsidR="00B70702" w:rsidRPr="00B70702">
        <w:rPr>
          <w:i/>
          <w:lang w:val="ru-RU"/>
        </w:rPr>
        <w:t xml:space="preserve"> февраля 2023 года. Москва.</w:t>
      </w:r>
    </w:p>
    <w:p w14:paraId="76E8A5E7" w14:textId="77777777" w:rsidR="001B174C" w:rsidRDefault="001B174C" w:rsidP="00E7538B">
      <w:pPr>
        <w:jc w:val="both"/>
        <w:rPr>
          <w:i/>
          <w:lang w:val="ru-RU"/>
        </w:rPr>
      </w:pPr>
    </w:p>
    <w:p w14:paraId="56317B90" w14:textId="77777777" w:rsidR="001B174C" w:rsidRDefault="001B174C" w:rsidP="00E7538B">
      <w:pPr>
        <w:jc w:val="both"/>
        <w:rPr>
          <w:i/>
          <w:lang w:val="ru-RU"/>
        </w:rPr>
      </w:pPr>
    </w:p>
    <w:p w14:paraId="435E2BD6" w14:textId="77777777" w:rsidR="001B174C" w:rsidRDefault="001B174C" w:rsidP="00E7538B">
      <w:pPr>
        <w:jc w:val="both"/>
        <w:rPr>
          <w:i/>
          <w:lang w:val="ru-RU"/>
        </w:rPr>
      </w:pPr>
    </w:p>
    <w:p w14:paraId="0F5CAD1B" w14:textId="77777777" w:rsidR="001B174C" w:rsidRDefault="001B174C" w:rsidP="00E7538B">
      <w:pPr>
        <w:jc w:val="both"/>
        <w:rPr>
          <w:i/>
          <w:lang w:val="ru-RU"/>
        </w:rPr>
      </w:pPr>
    </w:p>
    <w:p w14:paraId="7EB2CFC5" w14:textId="77777777" w:rsidR="001B174C" w:rsidRDefault="001B174C" w:rsidP="00E7538B">
      <w:pPr>
        <w:jc w:val="both"/>
        <w:rPr>
          <w:i/>
          <w:lang w:val="ru-RU"/>
        </w:rPr>
      </w:pPr>
    </w:p>
    <w:p w14:paraId="4E7E0D29" w14:textId="77777777" w:rsidR="00700F94" w:rsidRDefault="00700F94" w:rsidP="00E7538B">
      <w:pPr>
        <w:jc w:val="both"/>
        <w:rPr>
          <w:i/>
          <w:lang w:val="ru-RU"/>
        </w:rPr>
        <w:sectPr w:rsidR="00700F94" w:rsidSect="00816015">
          <w:footerReference w:type="even" r:id="rId13"/>
          <w:footerReference w:type="default" r:id="rId14"/>
          <w:pgSz w:w="11900" w:h="16840"/>
          <w:pgMar w:top="1276" w:right="1268" w:bottom="993" w:left="1797" w:header="720" w:footer="720" w:gutter="0"/>
          <w:cols w:space="708"/>
          <w:noEndnote/>
        </w:sectPr>
      </w:pPr>
    </w:p>
    <w:p w14:paraId="54CBB556" w14:textId="77777777" w:rsidR="00700F94" w:rsidRDefault="00700F94" w:rsidP="00700F94">
      <w:pPr>
        <w:ind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1.</w:t>
      </w:r>
    </w:p>
    <w:p w14:paraId="25F87D1C" w14:textId="77777777" w:rsidR="00700F94" w:rsidRDefault="00700F94" w:rsidP="00700F94">
      <w:pPr>
        <w:ind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сопроводительному письму СПК НСБ от 01.09.2021 г. </w:t>
      </w:r>
    </w:p>
    <w:p w14:paraId="48E45EFB" w14:textId="3BE3CD69" w:rsidR="00700F94" w:rsidRDefault="00700F94" w:rsidP="00700F94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</w:t>
      </w:r>
      <w:r w:rsidRPr="00CD5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требования </w:t>
      </w:r>
      <w:r w:rsidRPr="00CD5381">
        <w:rPr>
          <w:rFonts w:ascii="Times New Roman" w:hAnsi="Times New Roman"/>
          <w:sz w:val="24"/>
          <w:szCs w:val="24"/>
        </w:rPr>
        <w:t>к квалификаци</w:t>
      </w:r>
      <w:r>
        <w:rPr>
          <w:rFonts w:ascii="Times New Roman" w:hAnsi="Times New Roman"/>
          <w:sz w:val="24"/>
          <w:szCs w:val="24"/>
        </w:rPr>
        <w:t>и «Раб</w:t>
      </w:r>
      <w:r w:rsidR="00C52AB3">
        <w:rPr>
          <w:rFonts w:ascii="Times New Roman" w:hAnsi="Times New Roman"/>
          <w:sz w:val="24"/>
          <w:szCs w:val="24"/>
        </w:rPr>
        <w:t>отник в области безопасности» (</w:t>
      </w:r>
      <w:r>
        <w:rPr>
          <w:rFonts w:ascii="Times New Roman" w:hAnsi="Times New Roman"/>
          <w:sz w:val="24"/>
          <w:szCs w:val="24"/>
        </w:rPr>
        <w:t xml:space="preserve"> уровень квалификации</w:t>
      </w:r>
      <w:r w:rsidR="00C52AB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), представленной</w:t>
      </w:r>
      <w:r w:rsidRPr="00CD5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СПК НСБ,</w:t>
      </w:r>
      <w:r w:rsidRPr="006A0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соответствие которой</w:t>
      </w:r>
      <w:r w:rsidRPr="00CD5381">
        <w:rPr>
          <w:rFonts w:ascii="Times New Roman" w:hAnsi="Times New Roman"/>
          <w:sz w:val="24"/>
          <w:szCs w:val="24"/>
        </w:rPr>
        <w:t xml:space="preserve"> проводится независимая оценка квалификации</w:t>
      </w:r>
    </w:p>
    <w:p w14:paraId="7C1CABC8" w14:textId="77777777" w:rsidR="00700F94" w:rsidRPr="00FF7A65" w:rsidRDefault="00700F94" w:rsidP="00700F94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850"/>
        <w:gridCol w:w="851"/>
        <w:gridCol w:w="3685"/>
        <w:gridCol w:w="993"/>
        <w:gridCol w:w="1275"/>
        <w:gridCol w:w="1418"/>
        <w:gridCol w:w="709"/>
        <w:gridCol w:w="2268"/>
      </w:tblGrid>
      <w:tr w:rsidR="00700F94" w:rsidRPr="005C6665" w14:paraId="00EC754F" w14:textId="77777777" w:rsidTr="00C52AB3">
        <w:trPr>
          <w:trHeight w:val="356"/>
        </w:trPr>
        <w:tc>
          <w:tcPr>
            <w:tcW w:w="425" w:type="dxa"/>
            <w:vMerge w:val="restart"/>
            <w:shd w:val="clear" w:color="auto" w:fill="auto"/>
          </w:tcPr>
          <w:p w14:paraId="72F7075F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9E2C120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B17949B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ACF00D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2F81F239" w14:textId="77777777" w:rsidR="00700F94" w:rsidRPr="00DE5E7B" w:rsidRDefault="00700F94" w:rsidP="00A83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613">
              <w:rPr>
                <w:rFonts w:ascii="Times New Roman" w:hAnsi="Times New Roman"/>
                <w:b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73643D5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7D51506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4946E6E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268" w:type="dxa"/>
            <w:vMerge w:val="restart"/>
          </w:tcPr>
          <w:p w14:paraId="7D5D5756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700F94" w:rsidRPr="005C6665" w14:paraId="683AA29D" w14:textId="77777777" w:rsidTr="00C52AB3">
        <w:tc>
          <w:tcPr>
            <w:tcW w:w="425" w:type="dxa"/>
            <w:vMerge/>
            <w:shd w:val="clear" w:color="auto" w:fill="auto"/>
          </w:tcPr>
          <w:p w14:paraId="0A5CFCF1" w14:textId="77777777" w:rsidR="00700F94" w:rsidRPr="005C6665" w:rsidRDefault="00700F94" w:rsidP="00A8317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606798" w14:textId="77777777" w:rsidR="00700F94" w:rsidRPr="005C6665" w:rsidRDefault="00700F94" w:rsidP="00A8317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73007C" w14:textId="77777777" w:rsidR="00700F94" w:rsidRPr="005C6665" w:rsidRDefault="00700F94" w:rsidP="00A8317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E6511B" w14:textId="77777777" w:rsidR="00700F94" w:rsidRPr="005C6665" w:rsidRDefault="00700F94" w:rsidP="00A8317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DC22F8B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3685" w:type="dxa"/>
            <w:shd w:val="clear" w:color="auto" w:fill="auto"/>
          </w:tcPr>
          <w:p w14:paraId="4DA6C891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993" w:type="dxa"/>
            <w:shd w:val="clear" w:color="auto" w:fill="auto"/>
          </w:tcPr>
          <w:p w14:paraId="1269357A" w14:textId="77777777" w:rsidR="00700F94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486">
              <w:rPr>
                <w:rFonts w:ascii="Times New Roman" w:hAnsi="Times New Roman"/>
                <w:sz w:val="18"/>
                <w:szCs w:val="18"/>
              </w:rPr>
              <w:t xml:space="preserve">дополнительные сведения </w:t>
            </w:r>
          </w:p>
          <w:p w14:paraId="693531C8" w14:textId="77777777" w:rsidR="00700F94" w:rsidRPr="00BC6486" w:rsidRDefault="00700F94" w:rsidP="00A83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8C3A2CB" w14:textId="77777777" w:rsidR="00700F94" w:rsidRPr="005C6665" w:rsidRDefault="00700F94" w:rsidP="00A831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449171E" w14:textId="77777777" w:rsidR="00700F94" w:rsidRPr="005C6665" w:rsidRDefault="00700F94" w:rsidP="00A8317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08BDC7" w14:textId="77777777" w:rsidR="00700F94" w:rsidRPr="005C6665" w:rsidRDefault="00700F94" w:rsidP="00A8317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655A01" w14:textId="77777777" w:rsidR="00700F94" w:rsidRPr="005C6665" w:rsidRDefault="00700F94" w:rsidP="00A83173">
            <w:pPr>
              <w:rPr>
                <w:rFonts w:ascii="Times New Roman" w:hAnsi="Times New Roman"/>
              </w:rPr>
            </w:pPr>
          </w:p>
        </w:tc>
      </w:tr>
      <w:tr w:rsidR="00700F94" w:rsidRPr="00C1088C" w14:paraId="1D6CF911" w14:textId="77777777" w:rsidTr="00C52AB3">
        <w:tc>
          <w:tcPr>
            <w:tcW w:w="425" w:type="dxa"/>
            <w:shd w:val="clear" w:color="auto" w:fill="auto"/>
          </w:tcPr>
          <w:p w14:paraId="2C7D6177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110D271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D662C70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3C3BA67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6D2C29A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0E808F33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50257BD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5ECE10C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1B827F13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851BD29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72D2D61D" w14:textId="77777777" w:rsidR="00700F94" w:rsidRPr="00C1088C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88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700F94" w:rsidRPr="00EE61E6" w14:paraId="1D1D99F5" w14:textId="77777777" w:rsidTr="00C52AB3">
        <w:trPr>
          <w:trHeight w:val="1408"/>
        </w:trPr>
        <w:tc>
          <w:tcPr>
            <w:tcW w:w="425" w:type="dxa"/>
            <w:vMerge w:val="restart"/>
            <w:shd w:val="clear" w:color="auto" w:fill="auto"/>
          </w:tcPr>
          <w:p w14:paraId="789BD59E" w14:textId="77777777" w:rsidR="00700F94" w:rsidRPr="00F3143A" w:rsidRDefault="00700F94" w:rsidP="00700F9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0D5F0371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«Работник в области безопасности»</w:t>
            </w:r>
          </w:p>
          <w:p w14:paraId="1113AF0A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2ED3D2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80FA2E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EE61E6">
              <w:rPr>
                <w:rFonts w:ascii="Times New Roman" w:hAnsi="Times New Roman"/>
                <w:sz w:val="20"/>
                <w:szCs w:val="20"/>
              </w:rPr>
              <w:t xml:space="preserve"> уровень квалификации)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50A76DA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 «</w:t>
            </w:r>
            <w:r w:rsidRPr="00863384">
              <w:rPr>
                <w:rFonts w:ascii="Times New Roman" w:hAnsi="Times New Roman"/>
                <w:sz w:val="20"/>
                <w:szCs w:val="20"/>
              </w:rPr>
              <w:t>Работник по обеспечению охраны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D7E4F40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B34415" w14:textId="77777777" w:rsidR="00700F94" w:rsidRPr="0086338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47C0F5" w14:textId="77777777" w:rsidR="00700F94" w:rsidRPr="0086338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 w:rsidRPr="00863384">
              <w:rPr>
                <w:rFonts w:ascii="Times New Roman" w:hAnsi="Times New Roman"/>
                <w:sz w:val="20"/>
                <w:szCs w:val="20"/>
              </w:rPr>
              <w:t>(утв. приказом Министерства труда и социальной защиты РФ от 11 декабря 2015 г. N 1010н)</w:t>
            </w:r>
          </w:p>
          <w:p w14:paraId="2CC23D10" w14:textId="77777777" w:rsidR="00700F94" w:rsidRPr="00645A88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 w:rsidRPr="00645A88">
              <w:rPr>
                <w:rFonts w:ascii="Times New Roman" w:hAnsi="Times New Roman"/>
                <w:sz w:val="20"/>
                <w:szCs w:val="20"/>
              </w:rPr>
              <w:t>Рег. № ПС - 683</w:t>
            </w:r>
          </w:p>
          <w:p w14:paraId="32AD6249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 w:rsidRPr="00645A88">
              <w:rPr>
                <w:rFonts w:ascii="Times New Roman" w:hAnsi="Times New Roman"/>
                <w:sz w:val="20"/>
                <w:szCs w:val="20"/>
              </w:rPr>
              <w:t>Код. 12.003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0A04B55" w14:textId="77777777" w:rsidR="00700F94" w:rsidRPr="00EE61E6" w:rsidRDefault="00700F94" w:rsidP="00A83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076DA49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A/01.2</w:t>
            </w:r>
          </w:p>
          <w:p w14:paraId="4AA11DA0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1FA6DAD" w14:textId="77777777" w:rsidR="00700F94" w:rsidRPr="00F4339F" w:rsidRDefault="00700F94" w:rsidP="00A83173">
            <w:pPr>
              <w:pStyle w:val="A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C4613">
              <w:rPr>
                <w:rFonts w:ascii="Times New Roman" w:hAnsi="Times New Roman"/>
                <w:noProof/>
                <w:sz w:val="20"/>
                <w:szCs w:val="20"/>
              </w:rPr>
              <w:t>Проверка наличия и готовности постового оборудования</w:t>
            </w:r>
            <w:r w:rsidRPr="00543759">
              <w:rPr>
                <w:rFonts w:ascii="Times New Roman" w:hAnsi="Times New Roman"/>
                <w:noProof/>
                <w:sz w:val="20"/>
                <w:szCs w:val="20"/>
              </w:rPr>
              <w:t xml:space="preserve"> и технических средств охраны и наблюдение с использованием пульта за уровнем угроз образовательным организациям в объектовых помещениях и внутри периметра (ограждения) на прилегающей территории, за фасадом здания, за исправностью средств инженерной защиты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F4E4491" w14:textId="77777777" w:rsidR="00700F94" w:rsidRPr="00C42EF7" w:rsidRDefault="00700F94" w:rsidP="00A831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8A9236E" w14:textId="77777777" w:rsidR="00700F94" w:rsidRPr="00EE61E6" w:rsidRDefault="00700F94" w:rsidP="00A83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F7">
              <w:rPr>
                <w:rFonts w:ascii="Times New Roman" w:hAnsi="Times New Roman"/>
                <w:sz w:val="20"/>
                <w:szCs w:val="20"/>
              </w:rPr>
              <w:t xml:space="preserve">Квалификация разработана в соответствии с положениями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C42EF7">
              <w:rPr>
                <w:rFonts w:ascii="Times New Roman" w:hAnsi="Times New Roman"/>
                <w:sz w:val="20"/>
                <w:szCs w:val="20"/>
              </w:rPr>
              <w:t> 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C42EF7">
              <w:rPr>
                <w:rFonts w:ascii="Times New Roman" w:hAnsi="Times New Roman"/>
                <w:sz w:val="20"/>
                <w:szCs w:val="20"/>
              </w:rPr>
              <w:t> от 27 ноября 2018 г. N 422-ФЗ "О проведении эксперимента по установлению специального налогового режима "Налог на профессиональный доход"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2BC0E1A5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Документ об основном общем образовании или выше.</w:t>
            </w:r>
          </w:p>
          <w:p w14:paraId="219D30A3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5FB1D0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Справка о постановке на учет физического лица в качестве налогоплательщика налога на профессиональный доход </w:t>
            </w:r>
          </w:p>
          <w:p w14:paraId="40352ED0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– </w:t>
            </w:r>
          </w:p>
          <w:p w14:paraId="5351A885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КНД 1122035</w:t>
            </w:r>
          </w:p>
          <w:p w14:paraId="7EBAD0AD" w14:textId="77777777" w:rsidR="00700F94" w:rsidRDefault="00700F94" w:rsidP="00A8317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FE47F4C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F46997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839DAC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644A4D4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2742E96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2BF49A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53960F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08D53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2A74C1" w14:textId="77777777" w:rsidR="00700F94" w:rsidRDefault="00700F94" w:rsidP="00A83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3CDF484" w14:textId="77777777" w:rsidR="00700F94" w:rsidRPr="00EE61E6" w:rsidRDefault="00700F94" w:rsidP="00A83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F2A5514" w14:textId="77777777" w:rsidR="00700F94" w:rsidRPr="00F64182" w:rsidRDefault="00700F94" w:rsidP="00A83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260EB40A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F94" w:rsidRPr="00EE61E6" w14:paraId="01CC9247" w14:textId="77777777" w:rsidTr="00C52AB3">
        <w:trPr>
          <w:trHeight w:val="527"/>
        </w:trPr>
        <w:tc>
          <w:tcPr>
            <w:tcW w:w="425" w:type="dxa"/>
            <w:vMerge/>
            <w:shd w:val="clear" w:color="auto" w:fill="auto"/>
          </w:tcPr>
          <w:p w14:paraId="13A819EF" w14:textId="77777777" w:rsidR="00700F94" w:rsidRPr="00EE61E6" w:rsidRDefault="00700F94" w:rsidP="00700F9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2F795B4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36F6DA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A8E894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EF5860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A/02.2</w:t>
            </w:r>
          </w:p>
        </w:tc>
        <w:tc>
          <w:tcPr>
            <w:tcW w:w="3685" w:type="dxa"/>
            <w:shd w:val="clear" w:color="auto" w:fill="auto"/>
          </w:tcPr>
          <w:p w14:paraId="251E0FDA" w14:textId="77777777" w:rsidR="00700F94" w:rsidRPr="00256ABB" w:rsidRDefault="00700F94" w:rsidP="00A8317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C4613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Принятие под охрану и осуществление визуального контроля</w:t>
            </w:r>
            <w:r w:rsidRPr="0054375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охраняемых помещений образовательной организации при проведении обходов, принятие мер при обнаружении нарушений</w:t>
            </w:r>
          </w:p>
        </w:tc>
        <w:tc>
          <w:tcPr>
            <w:tcW w:w="993" w:type="dxa"/>
            <w:vMerge/>
            <w:shd w:val="clear" w:color="auto" w:fill="auto"/>
          </w:tcPr>
          <w:p w14:paraId="0D52E1C9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FAC895A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1E1769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750F8D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E29075" w14:textId="77777777" w:rsidR="00700F94" w:rsidRPr="00EE61E6" w:rsidRDefault="00700F94" w:rsidP="00A83173">
            <w:pPr>
              <w:rPr>
                <w:rFonts w:ascii="Times New Roman" w:hAnsi="Times New Roman"/>
              </w:rPr>
            </w:pPr>
          </w:p>
        </w:tc>
      </w:tr>
      <w:tr w:rsidR="00700F94" w:rsidRPr="00EE61E6" w14:paraId="5808F592" w14:textId="77777777" w:rsidTr="00C52AB3">
        <w:trPr>
          <w:trHeight w:val="527"/>
        </w:trPr>
        <w:tc>
          <w:tcPr>
            <w:tcW w:w="425" w:type="dxa"/>
            <w:vMerge/>
            <w:shd w:val="clear" w:color="auto" w:fill="auto"/>
          </w:tcPr>
          <w:p w14:paraId="201462FF" w14:textId="77777777" w:rsidR="00700F94" w:rsidRPr="00EE61E6" w:rsidRDefault="00700F94" w:rsidP="00700F9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92682C4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737789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BDB6E9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1ED0F4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 w:rsidRPr="00543759">
              <w:rPr>
                <w:rFonts w:ascii="Times New Roman" w:hAnsi="Times New Roman"/>
                <w:sz w:val="20"/>
                <w:szCs w:val="20"/>
              </w:rPr>
              <w:t>A/03.2</w:t>
            </w:r>
          </w:p>
        </w:tc>
        <w:tc>
          <w:tcPr>
            <w:tcW w:w="3685" w:type="dxa"/>
            <w:shd w:val="clear" w:color="auto" w:fill="auto"/>
          </w:tcPr>
          <w:p w14:paraId="1F42DEFC" w14:textId="77777777" w:rsidR="00700F94" w:rsidRPr="00543759" w:rsidRDefault="00700F94" w:rsidP="00A8317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C4613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Контроль состояния безопасности</w:t>
            </w:r>
            <w:r w:rsidRPr="0054375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при осуществлении пропускного режима в часы образовательного процесса в образовательной организации</w:t>
            </w:r>
          </w:p>
        </w:tc>
        <w:tc>
          <w:tcPr>
            <w:tcW w:w="993" w:type="dxa"/>
            <w:vMerge/>
            <w:shd w:val="clear" w:color="auto" w:fill="auto"/>
          </w:tcPr>
          <w:p w14:paraId="637121D1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2B3894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263D96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1589B2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504237" w14:textId="77777777" w:rsidR="00700F94" w:rsidRPr="00EE61E6" w:rsidRDefault="00700F94" w:rsidP="00A83173">
            <w:pPr>
              <w:rPr>
                <w:rFonts w:ascii="Times New Roman" w:hAnsi="Times New Roman"/>
              </w:rPr>
            </w:pPr>
          </w:p>
        </w:tc>
      </w:tr>
      <w:tr w:rsidR="00700F94" w:rsidRPr="00EE61E6" w14:paraId="5281255E" w14:textId="77777777" w:rsidTr="00C52AB3">
        <w:trPr>
          <w:trHeight w:val="527"/>
        </w:trPr>
        <w:tc>
          <w:tcPr>
            <w:tcW w:w="425" w:type="dxa"/>
            <w:vMerge/>
            <w:shd w:val="clear" w:color="auto" w:fill="auto"/>
          </w:tcPr>
          <w:p w14:paraId="6AC1C7B7" w14:textId="77777777" w:rsidR="00700F94" w:rsidRPr="00EE61E6" w:rsidRDefault="00700F94" w:rsidP="00700F9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717A3FA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FA8842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64A2F08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FB24B1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A/04</w:t>
            </w:r>
            <w:r w:rsidRPr="00543759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685" w:type="dxa"/>
            <w:shd w:val="clear" w:color="auto" w:fill="auto"/>
          </w:tcPr>
          <w:p w14:paraId="7BBB6B85" w14:textId="77777777" w:rsidR="00700F94" w:rsidRPr="00543759" w:rsidRDefault="00700F94" w:rsidP="00A8317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C4613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Контроль состояния безопасности и обеспечение порядка,</w:t>
            </w:r>
            <w:r w:rsidRPr="0054375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установленного законодательством Российской Федерации и локальными нормативными актами образовательных организаций при осуществлении внутриобъектового режима</w:t>
            </w:r>
          </w:p>
        </w:tc>
        <w:tc>
          <w:tcPr>
            <w:tcW w:w="993" w:type="dxa"/>
            <w:vMerge/>
            <w:shd w:val="clear" w:color="auto" w:fill="auto"/>
          </w:tcPr>
          <w:p w14:paraId="6018C99F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1FBBFCA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F978DC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A9E468B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052C4C" w14:textId="77777777" w:rsidR="00700F94" w:rsidRPr="00EE61E6" w:rsidRDefault="00700F94" w:rsidP="00A83173">
            <w:pPr>
              <w:rPr>
                <w:rFonts w:ascii="Times New Roman" w:hAnsi="Times New Roman"/>
              </w:rPr>
            </w:pPr>
          </w:p>
        </w:tc>
      </w:tr>
      <w:tr w:rsidR="00700F94" w:rsidRPr="00EE61E6" w14:paraId="691F075D" w14:textId="77777777" w:rsidTr="00C52AB3">
        <w:trPr>
          <w:trHeight w:val="548"/>
        </w:trPr>
        <w:tc>
          <w:tcPr>
            <w:tcW w:w="425" w:type="dxa"/>
            <w:vMerge/>
            <w:shd w:val="clear" w:color="auto" w:fill="auto"/>
          </w:tcPr>
          <w:p w14:paraId="3F83651C" w14:textId="77777777" w:rsidR="00700F94" w:rsidRPr="00EE61E6" w:rsidRDefault="00700F94" w:rsidP="00700F9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ECAB478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7A3C82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7003B2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4A8D8C" w14:textId="77777777" w:rsidR="00700F94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A/05</w:t>
            </w:r>
            <w:r w:rsidRPr="00645A8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685" w:type="dxa"/>
            <w:shd w:val="clear" w:color="auto" w:fill="auto"/>
          </w:tcPr>
          <w:p w14:paraId="5C24EB15" w14:textId="77777777" w:rsidR="00700F94" w:rsidRPr="00256ABB" w:rsidRDefault="00700F94" w:rsidP="00A83173">
            <w:pPr>
              <w:pStyle w:val="TableParagraph"/>
              <w:ind w:right="112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C4613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Информирование руководства</w:t>
            </w:r>
            <w:r w:rsidRPr="0054375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образовательной организации, городских или районных служб, оперативного дежурного и по необходимости патрульных (постовых) нарядов полиции на маршрутах </w:t>
            </w:r>
            <w:r w:rsidRPr="00AC4613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 дальнейшие действия по конкретной ситуации</w:t>
            </w:r>
          </w:p>
        </w:tc>
        <w:tc>
          <w:tcPr>
            <w:tcW w:w="993" w:type="dxa"/>
            <w:vMerge/>
            <w:shd w:val="clear" w:color="auto" w:fill="auto"/>
          </w:tcPr>
          <w:p w14:paraId="0F5B5973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E835BEE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6A9A6B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B2D65C" w14:textId="77777777" w:rsidR="00700F94" w:rsidRPr="00EE61E6" w:rsidRDefault="00700F94" w:rsidP="00A83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D658F1" w14:textId="77777777" w:rsidR="00700F94" w:rsidRPr="00EE61E6" w:rsidRDefault="00700F94" w:rsidP="00A83173">
            <w:pPr>
              <w:rPr>
                <w:rFonts w:ascii="Times New Roman" w:hAnsi="Times New Roman"/>
              </w:rPr>
            </w:pPr>
          </w:p>
        </w:tc>
      </w:tr>
    </w:tbl>
    <w:p w14:paraId="666A77B0" w14:textId="77777777" w:rsidR="00700F94" w:rsidRDefault="00700F94" w:rsidP="00700F94">
      <w:pPr>
        <w:tabs>
          <w:tab w:val="left" w:pos="2715"/>
        </w:tabs>
        <w:jc w:val="right"/>
      </w:pPr>
    </w:p>
    <w:p w14:paraId="1D7E9346" w14:textId="77777777" w:rsidR="00700F94" w:rsidRPr="00B32D1F" w:rsidRDefault="00700F94" w:rsidP="00700F94">
      <w:pPr>
        <w:tabs>
          <w:tab w:val="left" w:pos="2715"/>
        </w:tabs>
        <w:jc w:val="right"/>
        <w:rPr>
          <w:rFonts w:ascii="Times New Roman" w:hAnsi="Times New Roman"/>
          <w:sz w:val="20"/>
          <w:szCs w:val="20"/>
        </w:rPr>
      </w:pPr>
      <w:r w:rsidRPr="00B32D1F">
        <w:rPr>
          <w:rFonts w:ascii="Times New Roman" w:hAnsi="Times New Roman"/>
          <w:sz w:val="20"/>
          <w:szCs w:val="20"/>
        </w:rPr>
        <w:t>Составил:</w:t>
      </w:r>
    </w:p>
    <w:p w14:paraId="1BE4B355" w14:textId="77777777" w:rsidR="00700F94" w:rsidRDefault="00700F94" w:rsidP="00700F94">
      <w:pPr>
        <w:tabs>
          <w:tab w:val="left" w:pos="2715"/>
        </w:tabs>
        <w:jc w:val="right"/>
        <w:rPr>
          <w:rFonts w:ascii="Times New Roman" w:hAnsi="Times New Roman"/>
          <w:sz w:val="20"/>
          <w:szCs w:val="20"/>
        </w:rPr>
      </w:pPr>
      <w:r w:rsidRPr="00B32D1F">
        <w:rPr>
          <w:rFonts w:ascii="Times New Roman" w:hAnsi="Times New Roman"/>
          <w:sz w:val="20"/>
          <w:szCs w:val="20"/>
        </w:rPr>
        <w:t xml:space="preserve">Руководитель рабочей группы </w:t>
      </w:r>
      <w:r>
        <w:rPr>
          <w:rFonts w:ascii="Times New Roman" w:hAnsi="Times New Roman"/>
          <w:sz w:val="20"/>
          <w:szCs w:val="20"/>
        </w:rPr>
        <w:t>СПК НСБ</w:t>
      </w:r>
      <w:r w:rsidRPr="00B32D1F">
        <w:rPr>
          <w:rFonts w:ascii="Times New Roman" w:hAnsi="Times New Roman"/>
          <w:sz w:val="20"/>
          <w:szCs w:val="20"/>
        </w:rPr>
        <w:t xml:space="preserve"> по разработке проектов квалификаций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2D1F">
        <w:rPr>
          <w:rFonts w:ascii="Times New Roman" w:hAnsi="Times New Roman"/>
          <w:sz w:val="20"/>
          <w:szCs w:val="20"/>
        </w:rPr>
        <w:t>Д.А. Сакуто</w:t>
      </w:r>
    </w:p>
    <w:p w14:paraId="2FC0819F" w14:textId="77777777" w:rsidR="00700F94" w:rsidRPr="00B32D1F" w:rsidRDefault="00700F94" w:rsidP="00700F94">
      <w:pPr>
        <w:tabs>
          <w:tab w:val="left" w:pos="271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01.09.2021 года г. Калиниград.</w:t>
      </w:r>
    </w:p>
    <w:p w14:paraId="6C6B8E4F" w14:textId="39535F5C" w:rsidR="001B174C" w:rsidRDefault="001B174C" w:rsidP="00E7538B">
      <w:pPr>
        <w:jc w:val="both"/>
        <w:rPr>
          <w:i/>
          <w:lang w:val="ru-RU"/>
        </w:rPr>
      </w:pPr>
    </w:p>
    <w:p w14:paraId="1B47C26E" w14:textId="577DA706" w:rsidR="001B174C" w:rsidRPr="00B70702" w:rsidRDefault="001B174C" w:rsidP="00E7538B">
      <w:pPr>
        <w:jc w:val="both"/>
        <w:rPr>
          <w:i/>
          <w:lang w:val="ru-RU"/>
        </w:rPr>
      </w:pPr>
    </w:p>
    <w:sectPr w:rsidR="001B174C" w:rsidRPr="00B70702" w:rsidSect="00700F94">
      <w:pgSz w:w="16840" w:h="11900" w:orient="landscape"/>
      <w:pgMar w:top="1797" w:right="1276" w:bottom="141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0CE49" w14:textId="77777777" w:rsidR="00654B80" w:rsidRDefault="00654B80" w:rsidP="000852FC">
      <w:r>
        <w:separator/>
      </w:r>
    </w:p>
  </w:endnote>
  <w:endnote w:type="continuationSeparator" w:id="0">
    <w:p w14:paraId="0CA39187" w14:textId="77777777" w:rsidR="00654B80" w:rsidRDefault="00654B80" w:rsidP="0008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1D9A" w14:textId="77777777" w:rsidR="00654B80" w:rsidRDefault="00654B80" w:rsidP="00BC2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01F35" w14:textId="77777777" w:rsidR="00654B80" w:rsidRDefault="00654B80" w:rsidP="000852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EFD3" w14:textId="77777777" w:rsidR="00654B80" w:rsidRDefault="00654B80" w:rsidP="00BC2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0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AEB4D3" w14:textId="1DA01394" w:rsidR="00654B80" w:rsidRPr="00DE052C" w:rsidRDefault="00654B80" w:rsidP="00DE052C">
    <w:pPr>
      <w:pStyle w:val="Footer"/>
      <w:ind w:right="360"/>
      <w:jc w:val="center"/>
      <w:rPr>
        <w:sz w:val="18"/>
        <w:szCs w:val="18"/>
      </w:rPr>
    </w:pPr>
    <w:r w:rsidRPr="00DE052C">
      <w:rPr>
        <w:sz w:val="18"/>
        <w:szCs w:val="18"/>
      </w:rPr>
      <w:t xml:space="preserve">обращение к Советам НСПК по вопросу согласования </w:t>
    </w:r>
    <w:r>
      <w:rPr>
        <w:sz w:val="18"/>
        <w:szCs w:val="18"/>
      </w:rPr>
      <w:t xml:space="preserve">охранных </w:t>
    </w:r>
    <w:r w:rsidRPr="00DE052C">
      <w:rPr>
        <w:sz w:val="18"/>
        <w:szCs w:val="18"/>
      </w:rPr>
      <w:t>квалификаций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A095F" w14:textId="77777777" w:rsidR="00654B80" w:rsidRDefault="00654B80" w:rsidP="000852FC">
      <w:r>
        <w:separator/>
      </w:r>
    </w:p>
  </w:footnote>
  <w:footnote w:type="continuationSeparator" w:id="0">
    <w:p w14:paraId="5915222F" w14:textId="77777777" w:rsidR="00654B80" w:rsidRDefault="00654B80" w:rsidP="0008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8A5"/>
    <w:multiLevelType w:val="hybridMultilevel"/>
    <w:tmpl w:val="162013F4"/>
    <w:lvl w:ilvl="0" w:tplc="D5C2F35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0061D2"/>
    <w:rsid w:val="0003720B"/>
    <w:rsid w:val="00062F20"/>
    <w:rsid w:val="000852FC"/>
    <w:rsid w:val="00092593"/>
    <w:rsid w:val="000C67EC"/>
    <w:rsid w:val="0015108A"/>
    <w:rsid w:val="001B174C"/>
    <w:rsid w:val="001E5601"/>
    <w:rsid w:val="002E53C1"/>
    <w:rsid w:val="0032420C"/>
    <w:rsid w:val="00334D1F"/>
    <w:rsid w:val="003A4687"/>
    <w:rsid w:val="00437145"/>
    <w:rsid w:val="00446451"/>
    <w:rsid w:val="0046411B"/>
    <w:rsid w:val="005727FC"/>
    <w:rsid w:val="006223C0"/>
    <w:rsid w:val="00654B80"/>
    <w:rsid w:val="00686D2C"/>
    <w:rsid w:val="006B6F28"/>
    <w:rsid w:val="006C67CC"/>
    <w:rsid w:val="00700F94"/>
    <w:rsid w:val="00710322"/>
    <w:rsid w:val="00726823"/>
    <w:rsid w:val="007400EC"/>
    <w:rsid w:val="00761EBD"/>
    <w:rsid w:val="007A3766"/>
    <w:rsid w:val="00807F6C"/>
    <w:rsid w:val="00816015"/>
    <w:rsid w:val="00837023"/>
    <w:rsid w:val="00843F04"/>
    <w:rsid w:val="008B25A5"/>
    <w:rsid w:val="00980505"/>
    <w:rsid w:val="009B3CB7"/>
    <w:rsid w:val="009B47AE"/>
    <w:rsid w:val="009F6C03"/>
    <w:rsid w:val="00A04FFA"/>
    <w:rsid w:val="00A11044"/>
    <w:rsid w:val="00A3028B"/>
    <w:rsid w:val="00A83173"/>
    <w:rsid w:val="00A97039"/>
    <w:rsid w:val="00AB2610"/>
    <w:rsid w:val="00AE7D4B"/>
    <w:rsid w:val="00B34671"/>
    <w:rsid w:val="00B40C38"/>
    <w:rsid w:val="00B53301"/>
    <w:rsid w:val="00B70702"/>
    <w:rsid w:val="00BB2342"/>
    <w:rsid w:val="00BC2F7C"/>
    <w:rsid w:val="00BD0FE0"/>
    <w:rsid w:val="00C52AB3"/>
    <w:rsid w:val="00C7432F"/>
    <w:rsid w:val="00D06EFF"/>
    <w:rsid w:val="00D33071"/>
    <w:rsid w:val="00DE052C"/>
    <w:rsid w:val="00DF2572"/>
    <w:rsid w:val="00DF7E30"/>
    <w:rsid w:val="00E01A30"/>
    <w:rsid w:val="00E028AC"/>
    <w:rsid w:val="00E16701"/>
    <w:rsid w:val="00E4298B"/>
    <w:rsid w:val="00E7538B"/>
    <w:rsid w:val="00EF0342"/>
    <w:rsid w:val="00F80816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C2B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0F9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8B"/>
    <w:rPr>
      <w:rFonts w:ascii="Lucida Grande" w:hAnsi="Lucida Grande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3A4687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67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5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FC"/>
  </w:style>
  <w:style w:type="character" w:styleId="PageNumber">
    <w:name w:val="page number"/>
    <w:basedOn w:val="DefaultParagraphFont"/>
    <w:uiPriority w:val="99"/>
    <w:semiHidden/>
    <w:unhideWhenUsed/>
    <w:rsid w:val="000852FC"/>
  </w:style>
  <w:style w:type="character" w:customStyle="1" w:styleId="Heading1Char">
    <w:name w:val="Heading 1 Char"/>
    <w:basedOn w:val="DefaultParagraphFont"/>
    <w:link w:val="Heading1"/>
    <w:rsid w:val="00700F94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customStyle="1" w:styleId="A">
    <w:name w:val="Текстовый блок A"/>
    <w:rsid w:val="00700F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00F94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05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0F9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8B"/>
    <w:rPr>
      <w:rFonts w:ascii="Lucida Grande" w:hAnsi="Lucida Grande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3A4687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67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5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FC"/>
  </w:style>
  <w:style w:type="character" w:styleId="PageNumber">
    <w:name w:val="page number"/>
    <w:basedOn w:val="DefaultParagraphFont"/>
    <w:uiPriority w:val="99"/>
    <w:semiHidden/>
    <w:unhideWhenUsed/>
    <w:rsid w:val="000852FC"/>
  </w:style>
  <w:style w:type="character" w:customStyle="1" w:styleId="Heading1Char">
    <w:name w:val="Heading 1 Char"/>
    <w:basedOn w:val="DefaultParagraphFont"/>
    <w:link w:val="Heading1"/>
    <w:rsid w:val="00700F94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customStyle="1" w:styleId="A">
    <w:name w:val="Текстовый блок A"/>
    <w:rsid w:val="00700F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00F94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05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pk-nsb.ru/standard/ps-telohranitel/" TargetMode="External"/><Relationship Id="rId12" Type="http://schemas.openxmlformats.org/officeDocument/2006/relationships/image" Target="media/image2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spk-nsb.ru/standard/ps-ohrannik/" TargetMode="External"/><Relationship Id="rId10" Type="http://schemas.openxmlformats.org/officeDocument/2006/relationships/hyperlink" Target="https://www.spk-nsb.ru/standard/ps-inkass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1556</Words>
  <Characters>8871</Characters>
  <Application>Microsoft Macintosh Word</Application>
  <DocSecurity>0</DocSecurity>
  <Lines>73</Lines>
  <Paragraphs>20</Paragraphs>
  <ScaleCrop>false</ScaleCrop>
  <Company>NAST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Fonareff</dc:creator>
  <cp:keywords/>
  <dc:description/>
  <cp:lastModifiedBy>Dmitry Fonareff</cp:lastModifiedBy>
  <cp:revision>36</cp:revision>
  <dcterms:created xsi:type="dcterms:W3CDTF">2023-02-13T11:19:00Z</dcterms:created>
  <dcterms:modified xsi:type="dcterms:W3CDTF">2023-02-16T10:11:00Z</dcterms:modified>
</cp:coreProperties>
</file>